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BA" w:rsidRPr="00520D4D" w:rsidRDefault="00520D4D">
      <w:pPr>
        <w:rPr>
          <w:u w:val="single"/>
        </w:rPr>
      </w:pPr>
      <w:r w:rsidRPr="00520D4D">
        <w:rPr>
          <w:u w:val="single"/>
        </w:rPr>
        <w:t xml:space="preserve">Franz Josef Haydn (1732 – 1809) – The Clock Symphony (Second Movement) </w:t>
      </w:r>
      <w:r>
        <w:rPr>
          <w:u w:val="single"/>
        </w:rPr>
        <w:t>- Essential I</w:t>
      </w:r>
      <w:r w:rsidRPr="00520D4D">
        <w:rPr>
          <w:u w:val="single"/>
        </w:rPr>
        <w:t>nformation</w:t>
      </w:r>
    </w:p>
    <w:tbl>
      <w:tblPr>
        <w:tblStyle w:val="TableGrid"/>
        <w:tblW w:w="11482" w:type="dxa"/>
        <w:tblInd w:w="-1281" w:type="dxa"/>
        <w:tblLayout w:type="fixed"/>
        <w:tblLook w:val="04A0" w:firstRow="1" w:lastRow="0" w:firstColumn="1" w:lastColumn="0" w:noHBand="0" w:noVBand="1"/>
      </w:tblPr>
      <w:tblGrid>
        <w:gridCol w:w="709"/>
        <w:gridCol w:w="10773"/>
      </w:tblGrid>
      <w:tr w:rsidR="00520D4D" w:rsidTr="009C5011">
        <w:trPr>
          <w:cantSplit/>
          <w:trHeight w:val="1134"/>
        </w:trPr>
        <w:tc>
          <w:tcPr>
            <w:tcW w:w="709" w:type="dxa"/>
            <w:textDirection w:val="btLr"/>
          </w:tcPr>
          <w:p w:rsidR="00520D4D" w:rsidRDefault="00520D4D" w:rsidP="001A5BA7">
            <w:pPr>
              <w:pStyle w:val="NoSpacing"/>
              <w:ind w:left="113" w:right="113"/>
              <w:rPr>
                <w:lang w:eastAsia="en-GB"/>
              </w:rPr>
            </w:pPr>
          </w:p>
        </w:tc>
        <w:tc>
          <w:tcPr>
            <w:tcW w:w="10773" w:type="dxa"/>
          </w:tcPr>
          <w:p w:rsidR="00520D4D" w:rsidRDefault="00520D4D" w:rsidP="00520D4D">
            <w:r>
              <w:t>Haydn moved to London (from Austria) and was commissioned to write a set of symphonies, now called the ‘London Symphonies’. The ‘Clock’ was one of these symphonies (the 11</w:t>
            </w:r>
            <w:r w:rsidRPr="002E6AE1">
              <w:rPr>
                <w:vertAlign w:val="superscript"/>
              </w:rPr>
              <w:t>th</w:t>
            </w:r>
            <w:r>
              <w:t xml:space="preserve">). </w:t>
            </w:r>
          </w:p>
          <w:p w:rsidR="00520D4D" w:rsidRDefault="00520D4D" w:rsidP="00520D4D"/>
          <w:p w:rsidR="00520D4D" w:rsidRDefault="00520D4D" w:rsidP="00520D4D">
            <w:r w:rsidRPr="001A5BA7">
              <w:rPr>
                <w:b/>
              </w:rPr>
              <w:t>How does this movement fit into the Classical symphony structure?</w:t>
            </w:r>
            <w:r>
              <w:t xml:space="preserve"> A Classical symphony has four movements; our study piece is the second, which is the ‘slow movement’. The key of the symphony is D major but this movement is in G major, which is related as the subdominant key (the relative 4</w:t>
            </w:r>
            <w:r w:rsidRPr="002E6AE1">
              <w:rPr>
                <w:vertAlign w:val="superscript"/>
              </w:rPr>
              <w:t>th</w:t>
            </w:r>
            <w:r>
              <w:t xml:space="preserve">). It changes to G minor for a time and there’s a short episode in </w:t>
            </w:r>
            <w:proofErr w:type="spellStart"/>
            <w:r>
              <w:t>E</w:t>
            </w:r>
            <w:r w:rsidRPr="002E6AE1">
              <w:rPr>
                <w:i/>
              </w:rPr>
              <w:t>b</w:t>
            </w:r>
            <w:proofErr w:type="spellEnd"/>
            <w:r>
              <w:t xml:space="preserve">  before returning to G major</w:t>
            </w:r>
          </w:p>
          <w:p w:rsidR="00520D4D" w:rsidRDefault="00520D4D" w:rsidP="00520D4D"/>
          <w:p w:rsidR="00520D4D" w:rsidRDefault="00520D4D" w:rsidP="00520D4D">
            <w:r w:rsidRPr="001A5BA7">
              <w:rPr>
                <w:b/>
              </w:rPr>
              <w:t>What instruments did Haydn use?</w:t>
            </w:r>
            <w:r w:rsidRPr="001A5BA7">
              <w:t xml:space="preserve"> </w:t>
            </w:r>
            <w:r>
              <w:t>Haydn uses a Classical orchestra. The strings play the prominent role, with 1</w:t>
            </w:r>
            <w:r w:rsidRPr="002E6AE1">
              <w:rPr>
                <w:vertAlign w:val="superscript"/>
              </w:rPr>
              <w:t>st</w:t>
            </w:r>
            <w:r>
              <w:t xml:space="preserve"> violins usually carrying the melody. The woodwind adds colour to the music: flutes double the 1</w:t>
            </w:r>
            <w:r w:rsidRPr="002E6AE1">
              <w:rPr>
                <w:vertAlign w:val="superscript"/>
              </w:rPr>
              <w:t>st</w:t>
            </w:r>
            <w:r>
              <w:t xml:space="preserve"> violins, bassoons double the cellos, and oboes sustain long high notes above the melody (an inverted pedal). The brass is ‘natural’ which means the horns and trumpets are restricted in the number of notes they play. They fill out the harmonies but can’t play fast chromatic notes – they play a supportive role. </w:t>
            </w:r>
          </w:p>
          <w:p w:rsidR="001A5BA7" w:rsidRDefault="001A5BA7" w:rsidP="00520D4D">
            <w:pPr>
              <w:rPr>
                <w:b/>
              </w:rPr>
            </w:pPr>
          </w:p>
          <w:p w:rsidR="001A5BA7" w:rsidRPr="008D52EC" w:rsidRDefault="00520D4D" w:rsidP="001A5BA7">
            <w:r w:rsidRPr="001A5BA7">
              <w:rPr>
                <w:b/>
              </w:rPr>
              <w:t xml:space="preserve">How </w:t>
            </w:r>
            <w:r w:rsidRPr="008D52EC">
              <w:rPr>
                <w:b/>
              </w:rPr>
              <w:t>might the instruments appear on the score?</w:t>
            </w:r>
            <w:r w:rsidRPr="008D52EC">
              <w:t xml:space="preserve"> The clarinets, horns and trumpets are transposing instruments – they are written differently to how they sound and have different key signatures. </w:t>
            </w:r>
          </w:p>
          <w:p w:rsidR="0005560A" w:rsidRPr="008D52EC" w:rsidRDefault="0005560A" w:rsidP="0005560A">
            <w:pPr>
              <w:pStyle w:val="NoSpacing"/>
              <w:numPr>
                <w:ilvl w:val="0"/>
                <w:numId w:val="1"/>
              </w:numPr>
              <w:rPr>
                <w:lang w:eastAsia="en-GB"/>
              </w:rPr>
            </w:pPr>
            <w:r w:rsidRPr="008D52EC">
              <w:t>Violins, bassoons (</w:t>
            </w:r>
            <w:proofErr w:type="spellStart"/>
            <w:r w:rsidRPr="008D52EC">
              <w:t>fagotti</w:t>
            </w:r>
            <w:proofErr w:type="spellEnd"/>
            <w:r w:rsidRPr="008D52EC">
              <w:t>), viola and cello / contrabass (double bass) are in C (concert pitch). The key of this movement is G major (1 sharp)</w:t>
            </w:r>
          </w:p>
          <w:p w:rsidR="0005560A" w:rsidRPr="008D52EC" w:rsidRDefault="0005560A" w:rsidP="0005560A">
            <w:pPr>
              <w:pStyle w:val="NoSpacing"/>
              <w:numPr>
                <w:ilvl w:val="0"/>
                <w:numId w:val="1"/>
              </w:numPr>
              <w:rPr>
                <w:lang w:eastAsia="en-GB"/>
              </w:rPr>
            </w:pPr>
            <w:r w:rsidRPr="008D52EC">
              <w:rPr>
                <w:lang w:eastAsia="en-GB"/>
              </w:rPr>
              <w:t xml:space="preserve">Clarinet (in A) parts sound a minor third lower than written. They are notated in F major </w:t>
            </w:r>
          </w:p>
          <w:p w:rsidR="0005560A" w:rsidRPr="008D52EC" w:rsidRDefault="0005560A" w:rsidP="0005560A">
            <w:pPr>
              <w:pStyle w:val="NoSpacing"/>
              <w:numPr>
                <w:ilvl w:val="0"/>
                <w:numId w:val="1"/>
              </w:numPr>
              <w:rPr>
                <w:lang w:eastAsia="en-GB"/>
              </w:rPr>
            </w:pPr>
            <w:r w:rsidRPr="008D52EC">
              <w:t>Horns (in D) sound a minor seventh lower than written (traditionally written without a key signature with accidentals added as needed)</w:t>
            </w:r>
          </w:p>
          <w:p w:rsidR="00520D4D" w:rsidRDefault="0005560A" w:rsidP="0005560A">
            <w:pPr>
              <w:pStyle w:val="NoSpacing"/>
              <w:numPr>
                <w:ilvl w:val="0"/>
                <w:numId w:val="1"/>
              </w:numPr>
            </w:pPr>
            <w:r w:rsidRPr="008D52EC">
              <w:t xml:space="preserve">Trumpets (in D) – sound a </w:t>
            </w:r>
            <w:proofErr w:type="spellStart"/>
            <w:r w:rsidRPr="008D52EC">
              <w:t>tone</w:t>
            </w:r>
            <w:proofErr w:type="spellEnd"/>
            <w:r w:rsidRPr="008D52EC">
              <w:t xml:space="preserve"> higher than written (traditionally written without a key signature with accidentals added as needed) </w:t>
            </w:r>
          </w:p>
        </w:tc>
        <w:bookmarkStart w:id="0" w:name="_GoBack"/>
        <w:bookmarkEnd w:id="0"/>
      </w:tr>
      <w:tr w:rsidR="002E32A8" w:rsidTr="009C5011">
        <w:trPr>
          <w:cantSplit/>
          <w:trHeight w:val="1134"/>
        </w:trPr>
        <w:tc>
          <w:tcPr>
            <w:tcW w:w="709" w:type="dxa"/>
            <w:textDirection w:val="btLr"/>
          </w:tcPr>
          <w:p w:rsidR="002E32A8" w:rsidRDefault="002E32A8" w:rsidP="001A5BA7">
            <w:pPr>
              <w:pStyle w:val="NoSpacing"/>
              <w:ind w:left="113" w:right="113"/>
              <w:rPr>
                <w:lang w:eastAsia="en-GB"/>
              </w:rPr>
            </w:pPr>
            <w:r>
              <w:rPr>
                <w:lang w:eastAsia="en-GB"/>
              </w:rPr>
              <w:t>Melody</w:t>
            </w:r>
          </w:p>
        </w:tc>
        <w:tc>
          <w:tcPr>
            <w:tcW w:w="10773" w:type="dxa"/>
          </w:tcPr>
          <w:p w:rsidR="002E32A8" w:rsidRDefault="00804786" w:rsidP="00804786">
            <w:pPr>
              <w:pStyle w:val="NoSpacing"/>
              <w:numPr>
                <w:ilvl w:val="0"/>
                <w:numId w:val="1"/>
              </w:numPr>
              <w:rPr>
                <w:lang w:eastAsia="en-GB"/>
              </w:rPr>
            </w:pPr>
            <w:r>
              <w:rPr>
                <w:lang w:eastAsia="en-GB"/>
              </w:rPr>
              <w:t>The graceful melody begins after one bar.</w:t>
            </w:r>
          </w:p>
          <w:p w:rsidR="000B54D2" w:rsidRPr="001A5BA7" w:rsidRDefault="000B54D2" w:rsidP="00804786">
            <w:pPr>
              <w:pStyle w:val="NoSpacing"/>
              <w:numPr>
                <w:ilvl w:val="0"/>
                <w:numId w:val="1"/>
              </w:numPr>
              <w:rPr>
                <w:lang w:eastAsia="en-GB"/>
              </w:rPr>
            </w:pPr>
            <w:r>
              <w:rPr>
                <w:lang w:eastAsia="en-GB"/>
              </w:rPr>
              <w:t xml:space="preserve">The melody rises to a high D before descending, stepwise, through two octaves in bar 14, where a slower, </w:t>
            </w:r>
            <w:r w:rsidRPr="001A5BA7">
              <w:rPr>
                <w:lang w:eastAsia="en-GB"/>
              </w:rPr>
              <w:t>chromatic phrase returns the tonality to the tonic.</w:t>
            </w:r>
          </w:p>
          <w:p w:rsidR="000B54D2" w:rsidRDefault="000B54D2" w:rsidP="00804786">
            <w:pPr>
              <w:pStyle w:val="NoSpacing"/>
              <w:numPr>
                <w:ilvl w:val="0"/>
                <w:numId w:val="1"/>
              </w:numPr>
              <w:rPr>
                <w:lang w:eastAsia="en-GB"/>
              </w:rPr>
            </w:pPr>
            <w:r w:rsidRPr="001A5BA7">
              <w:rPr>
                <w:lang w:eastAsia="en-GB"/>
              </w:rPr>
              <w:t>Sequences are played with quavers by violins for</w:t>
            </w:r>
            <w:r w:rsidR="00520D4D" w:rsidRPr="001A5BA7">
              <w:rPr>
                <w:lang w:eastAsia="en-GB"/>
              </w:rPr>
              <w:t>ming a four-bar phrase (beginning in bar 16</w:t>
            </w:r>
            <w:r w:rsidRPr="001A5BA7">
              <w:rPr>
                <w:lang w:eastAsia="en-GB"/>
              </w:rPr>
              <w:t>)</w:t>
            </w:r>
          </w:p>
        </w:tc>
      </w:tr>
      <w:tr w:rsidR="002E32A8" w:rsidTr="009C5011">
        <w:trPr>
          <w:cantSplit/>
          <w:trHeight w:val="1134"/>
        </w:trPr>
        <w:tc>
          <w:tcPr>
            <w:tcW w:w="709" w:type="dxa"/>
            <w:textDirection w:val="btLr"/>
          </w:tcPr>
          <w:p w:rsidR="002E32A8" w:rsidRDefault="002E32A8" w:rsidP="001A5BA7">
            <w:pPr>
              <w:pStyle w:val="NoSpacing"/>
              <w:widowControl w:val="0"/>
              <w:ind w:left="113" w:right="113"/>
              <w:rPr>
                <w:lang w:eastAsia="en-GB"/>
              </w:rPr>
            </w:pPr>
            <w:r>
              <w:rPr>
                <w:lang w:eastAsia="en-GB"/>
              </w:rPr>
              <w:t>Harmony</w:t>
            </w:r>
          </w:p>
        </w:tc>
        <w:tc>
          <w:tcPr>
            <w:tcW w:w="10773" w:type="dxa"/>
          </w:tcPr>
          <w:p w:rsidR="002E32A8" w:rsidRDefault="000B54D2" w:rsidP="001A5BA7">
            <w:pPr>
              <w:pStyle w:val="NoSpacing"/>
              <w:widowControl w:val="0"/>
              <w:numPr>
                <w:ilvl w:val="0"/>
                <w:numId w:val="1"/>
              </w:numPr>
              <w:rPr>
                <w:lang w:eastAsia="en-GB"/>
              </w:rPr>
            </w:pPr>
            <w:r>
              <w:rPr>
                <w:lang w:eastAsia="en-GB"/>
              </w:rPr>
              <w:t>The harmony is dominant with tonic for two bars before another modulation to the dominant occurs, following the additions of C# from bar 13</w:t>
            </w:r>
          </w:p>
          <w:p w:rsidR="000B54D2" w:rsidRDefault="000B54D2" w:rsidP="001A5BA7">
            <w:pPr>
              <w:pStyle w:val="NoSpacing"/>
              <w:widowControl w:val="0"/>
              <w:numPr>
                <w:ilvl w:val="0"/>
                <w:numId w:val="1"/>
              </w:numPr>
              <w:rPr>
                <w:lang w:eastAsia="en-GB"/>
              </w:rPr>
            </w:pPr>
            <w:r>
              <w:rPr>
                <w:lang w:eastAsia="en-GB"/>
              </w:rPr>
              <w:t>The oboe begins in bar 16, sustaining an inverted pedal note on the dominant (D).</w:t>
            </w:r>
          </w:p>
          <w:p w:rsidR="003D175B" w:rsidRDefault="003D175B" w:rsidP="001A5BA7">
            <w:pPr>
              <w:pStyle w:val="NoSpacing"/>
              <w:widowControl w:val="0"/>
              <w:numPr>
                <w:ilvl w:val="0"/>
                <w:numId w:val="1"/>
              </w:numPr>
              <w:rPr>
                <w:lang w:eastAsia="en-GB"/>
              </w:rPr>
            </w:pPr>
            <w:r>
              <w:rPr>
                <w:lang w:eastAsia="en-GB"/>
              </w:rPr>
              <w:t>The harmony alternates tonic and dominant leading up to bar 46 when chords of C minor 7 and E diminished 7</w:t>
            </w:r>
            <w:r w:rsidRPr="003D175B">
              <w:rPr>
                <w:vertAlign w:val="superscript"/>
                <w:lang w:eastAsia="en-GB"/>
              </w:rPr>
              <w:t>th</w:t>
            </w:r>
            <w:r>
              <w:rPr>
                <w:lang w:eastAsia="en-GB"/>
              </w:rPr>
              <w:t xml:space="preserve">  lead to what is known as a 6/4, 5/3 approach to a perfect cadence. It resolves in bar 48 to the chord of Bb in the first inversion before leading to a cadence. </w:t>
            </w:r>
          </w:p>
          <w:p w:rsidR="00CE5A97" w:rsidRDefault="00CE5A97" w:rsidP="001A5BA7">
            <w:pPr>
              <w:pStyle w:val="NoSpacing"/>
              <w:widowControl w:val="0"/>
              <w:numPr>
                <w:ilvl w:val="0"/>
                <w:numId w:val="1"/>
              </w:numPr>
              <w:rPr>
                <w:lang w:eastAsia="en-GB"/>
              </w:rPr>
            </w:pPr>
            <w:r w:rsidRPr="001A5BA7">
              <w:rPr>
                <w:lang w:eastAsia="en-GB"/>
              </w:rPr>
              <w:t>SECOND RETURN OF SECTION ONE: 1</w:t>
            </w:r>
            <w:r w:rsidRPr="001A5BA7">
              <w:rPr>
                <w:vertAlign w:val="superscript"/>
                <w:lang w:eastAsia="en-GB"/>
              </w:rPr>
              <w:t>st</w:t>
            </w:r>
            <w:r w:rsidRPr="001A5BA7">
              <w:rPr>
                <w:lang w:eastAsia="en-GB"/>
              </w:rPr>
              <w:t xml:space="preserve"> </w:t>
            </w:r>
            <w:r>
              <w:rPr>
                <w:lang w:eastAsia="en-GB"/>
              </w:rPr>
              <w:t>violins introduce a new figure which is based on the notes of the underlying chord</w:t>
            </w:r>
          </w:p>
          <w:p w:rsidR="00701B8F" w:rsidRDefault="00701B8F" w:rsidP="001A5BA7">
            <w:pPr>
              <w:pStyle w:val="NoSpacing"/>
              <w:widowControl w:val="0"/>
              <w:numPr>
                <w:ilvl w:val="0"/>
                <w:numId w:val="1"/>
              </w:numPr>
              <w:rPr>
                <w:lang w:eastAsia="en-GB"/>
              </w:rPr>
            </w:pPr>
            <w:r w:rsidRPr="00701B8F">
              <w:rPr>
                <w:lang w:eastAsia="en-GB"/>
              </w:rPr>
              <w:t xml:space="preserve">In the third return of section one (after bar 104), the chord of </w:t>
            </w:r>
            <w:proofErr w:type="spellStart"/>
            <w:r w:rsidRPr="00701B8F">
              <w:rPr>
                <w:lang w:eastAsia="en-GB"/>
              </w:rPr>
              <w:t>Eb</w:t>
            </w:r>
            <w:proofErr w:type="spellEnd"/>
            <w:r w:rsidRPr="00701B8F">
              <w:rPr>
                <w:lang w:eastAsia="en-GB"/>
              </w:rPr>
              <w:t xml:space="preserve"> major leads to a German augmented sixth which, leads to a chord of D major and descends through two octaves.</w:t>
            </w:r>
          </w:p>
        </w:tc>
      </w:tr>
      <w:tr w:rsidR="002E32A8" w:rsidTr="009C5011">
        <w:trPr>
          <w:cantSplit/>
          <w:trHeight w:val="1134"/>
        </w:trPr>
        <w:tc>
          <w:tcPr>
            <w:tcW w:w="709" w:type="dxa"/>
            <w:textDirection w:val="btLr"/>
          </w:tcPr>
          <w:p w:rsidR="002E32A8" w:rsidRDefault="001A5BA7" w:rsidP="001A5BA7">
            <w:pPr>
              <w:pStyle w:val="NoSpacing"/>
              <w:widowControl w:val="0"/>
              <w:ind w:left="113" w:right="113"/>
              <w:rPr>
                <w:lang w:eastAsia="en-GB"/>
              </w:rPr>
            </w:pPr>
            <w:r>
              <w:rPr>
                <w:lang w:eastAsia="en-GB"/>
              </w:rPr>
              <w:t>Tonality</w:t>
            </w:r>
          </w:p>
        </w:tc>
        <w:tc>
          <w:tcPr>
            <w:tcW w:w="10773" w:type="dxa"/>
          </w:tcPr>
          <w:p w:rsidR="002E32A8" w:rsidRDefault="00804786" w:rsidP="001A5BA7">
            <w:pPr>
              <w:pStyle w:val="NoSpacing"/>
              <w:widowControl w:val="0"/>
              <w:numPr>
                <w:ilvl w:val="0"/>
                <w:numId w:val="1"/>
              </w:numPr>
              <w:rPr>
                <w:lang w:eastAsia="en-GB"/>
              </w:rPr>
            </w:pPr>
            <w:r>
              <w:rPr>
                <w:lang w:eastAsia="en-GB"/>
              </w:rPr>
              <w:t>G major (the subdominant of D major which is the key in the first movement)</w:t>
            </w:r>
          </w:p>
          <w:p w:rsidR="000B54D2" w:rsidRDefault="004D509C" w:rsidP="001A5BA7">
            <w:pPr>
              <w:pStyle w:val="NoSpacing"/>
              <w:widowControl w:val="0"/>
              <w:numPr>
                <w:ilvl w:val="0"/>
                <w:numId w:val="1"/>
              </w:numPr>
              <w:rPr>
                <w:lang w:eastAsia="en-GB"/>
              </w:rPr>
            </w:pPr>
            <w:r>
              <w:rPr>
                <w:lang w:eastAsia="en-GB"/>
              </w:rPr>
              <w:t>Bars 20-23 form a balancing four-bar phrase and include some chromatic notes before the cellos and basses play C# in bar 18 to signal another modulation to the dominant</w:t>
            </w:r>
          </w:p>
          <w:p w:rsidR="004D509C" w:rsidRDefault="004D509C" w:rsidP="001A5BA7">
            <w:pPr>
              <w:pStyle w:val="NoSpacing"/>
              <w:widowControl w:val="0"/>
              <w:numPr>
                <w:ilvl w:val="0"/>
                <w:numId w:val="1"/>
              </w:numPr>
              <w:rPr>
                <w:lang w:eastAsia="en-GB"/>
              </w:rPr>
            </w:pPr>
            <w:r>
              <w:rPr>
                <w:lang w:eastAsia="en-GB"/>
              </w:rPr>
              <w:t>In bar 20-23, the first flute and 1</w:t>
            </w:r>
            <w:r w:rsidRPr="004D509C">
              <w:rPr>
                <w:vertAlign w:val="superscript"/>
                <w:lang w:eastAsia="en-GB"/>
              </w:rPr>
              <w:t>st</w:t>
            </w:r>
            <w:r>
              <w:rPr>
                <w:lang w:eastAsia="en-GB"/>
              </w:rPr>
              <w:t xml:space="preserve"> violins ascend through the notes of the dominant seventh, returning the tonality to the tonic for the next section.</w:t>
            </w:r>
          </w:p>
          <w:p w:rsidR="003D175B" w:rsidRDefault="003D175B" w:rsidP="001A5BA7">
            <w:pPr>
              <w:pStyle w:val="NoSpacing"/>
              <w:widowControl w:val="0"/>
              <w:numPr>
                <w:ilvl w:val="0"/>
                <w:numId w:val="1"/>
              </w:numPr>
              <w:rPr>
                <w:lang w:eastAsia="en-GB"/>
              </w:rPr>
            </w:pPr>
            <w:r>
              <w:rPr>
                <w:lang w:eastAsia="en-GB"/>
              </w:rPr>
              <w:t>After the repeat, the second time bar takes the music down to the minor key, G minor (the tonic minor)</w:t>
            </w:r>
          </w:p>
          <w:p w:rsidR="003D175B" w:rsidRDefault="003D175B" w:rsidP="001A5BA7">
            <w:pPr>
              <w:pStyle w:val="NoSpacing"/>
              <w:widowControl w:val="0"/>
              <w:numPr>
                <w:ilvl w:val="0"/>
                <w:numId w:val="1"/>
              </w:numPr>
              <w:rPr>
                <w:lang w:eastAsia="en-GB"/>
              </w:rPr>
            </w:pPr>
            <w:r>
              <w:rPr>
                <w:lang w:eastAsia="en-GB"/>
              </w:rPr>
              <w:t>In bar 40 the music modulates to B</w:t>
            </w:r>
            <w:r w:rsidRPr="003D175B">
              <w:rPr>
                <w:i/>
                <w:lang w:eastAsia="en-GB"/>
              </w:rPr>
              <w:t>b</w:t>
            </w:r>
            <w:r>
              <w:rPr>
                <w:lang w:eastAsia="en-GB"/>
              </w:rPr>
              <w:t xml:space="preserve"> major, the relative major of G minor</w:t>
            </w:r>
          </w:p>
          <w:p w:rsidR="00CE5A97" w:rsidRDefault="00CE5A97" w:rsidP="001A5BA7">
            <w:pPr>
              <w:pStyle w:val="NoSpacing"/>
              <w:widowControl w:val="0"/>
              <w:numPr>
                <w:ilvl w:val="0"/>
                <w:numId w:val="1"/>
              </w:numPr>
              <w:rPr>
                <w:lang w:eastAsia="en-GB"/>
              </w:rPr>
            </w:pPr>
            <w:r>
              <w:rPr>
                <w:lang w:eastAsia="en-GB"/>
              </w:rPr>
              <w:t>The music gradually returns towards G minor and settles over a dominant pedal from bar 56. Alternating Ds and C#s in 1</w:t>
            </w:r>
            <w:r w:rsidRPr="00CE5A97">
              <w:rPr>
                <w:vertAlign w:val="superscript"/>
                <w:lang w:eastAsia="en-GB"/>
              </w:rPr>
              <w:t>st</w:t>
            </w:r>
            <w:r>
              <w:rPr>
                <w:lang w:eastAsia="en-GB"/>
              </w:rPr>
              <w:t xml:space="preserve"> violins in bars 61 – 62 lead to a return to G major and on to the second variation on the main theme.</w:t>
            </w:r>
          </w:p>
          <w:p w:rsidR="00050EBA" w:rsidRDefault="00050EBA" w:rsidP="001A5BA7">
            <w:pPr>
              <w:pStyle w:val="NoSpacing"/>
              <w:widowControl w:val="0"/>
              <w:numPr>
                <w:ilvl w:val="0"/>
                <w:numId w:val="1"/>
              </w:numPr>
              <w:rPr>
                <w:lang w:eastAsia="en-GB"/>
              </w:rPr>
            </w:pPr>
            <w:r>
              <w:rPr>
                <w:lang w:eastAsia="en-GB"/>
              </w:rPr>
              <w:t xml:space="preserve">After the bar of silence in the third return of section one, Haydn uses a G as a pivot note to produce a change of key to </w:t>
            </w:r>
            <w:proofErr w:type="spellStart"/>
            <w:r>
              <w:rPr>
                <w:lang w:eastAsia="en-GB"/>
              </w:rPr>
              <w:t>E</w:t>
            </w:r>
            <w:r w:rsidRPr="00050EBA">
              <w:rPr>
                <w:i/>
                <w:lang w:eastAsia="en-GB"/>
              </w:rPr>
              <w:t>b</w:t>
            </w:r>
            <w:proofErr w:type="spellEnd"/>
            <w:r>
              <w:rPr>
                <w:lang w:eastAsia="en-GB"/>
              </w:rPr>
              <w:t xml:space="preserve"> major (the flat </w:t>
            </w:r>
            <w:proofErr w:type="spellStart"/>
            <w:r>
              <w:rPr>
                <w:lang w:eastAsia="en-GB"/>
              </w:rPr>
              <w:t>submediant</w:t>
            </w:r>
            <w:proofErr w:type="spellEnd"/>
            <w:r>
              <w:rPr>
                <w:lang w:eastAsia="en-GB"/>
              </w:rPr>
              <w:t xml:space="preserve">) </w:t>
            </w:r>
          </w:p>
          <w:p w:rsidR="0074572C" w:rsidRDefault="0074572C" w:rsidP="001A5BA7">
            <w:pPr>
              <w:pStyle w:val="NoSpacing"/>
              <w:widowControl w:val="0"/>
              <w:numPr>
                <w:ilvl w:val="0"/>
                <w:numId w:val="1"/>
              </w:numPr>
              <w:rPr>
                <w:lang w:eastAsia="en-GB"/>
              </w:rPr>
            </w:pPr>
            <w:r>
              <w:rPr>
                <w:lang w:eastAsia="en-GB"/>
              </w:rPr>
              <w:t>In the final return of section two (from bar 121) the music first heard from bar 11 is given varied treatment in sextuplets, leading through a chromatic descent to the music heard from bar 16</w:t>
            </w:r>
          </w:p>
          <w:p w:rsidR="0074572C" w:rsidRPr="0074572C" w:rsidRDefault="0074572C" w:rsidP="001A5BA7">
            <w:pPr>
              <w:pStyle w:val="NoSpacing"/>
              <w:widowControl w:val="0"/>
              <w:numPr>
                <w:ilvl w:val="0"/>
                <w:numId w:val="1"/>
              </w:numPr>
              <w:rPr>
                <w:lang w:eastAsia="en-GB"/>
              </w:rPr>
            </w:pPr>
            <w:r>
              <w:rPr>
                <w:lang w:eastAsia="en-GB"/>
              </w:rPr>
              <w:t xml:space="preserve">The final statement of the main theme (which begins in bar 135) is preceded by a rising scale, the second half of it chromatic, before the usual alternation of D and C# is </w:t>
            </w:r>
            <w:r w:rsidRPr="00520D4D">
              <w:rPr>
                <w:lang w:eastAsia="en-GB"/>
              </w:rPr>
              <w:t>also decorated (133-134)</w:t>
            </w:r>
          </w:p>
          <w:p w:rsidR="0074572C" w:rsidRDefault="0074572C" w:rsidP="001A5BA7">
            <w:pPr>
              <w:pStyle w:val="NoSpacing"/>
              <w:widowControl w:val="0"/>
              <w:numPr>
                <w:ilvl w:val="0"/>
                <w:numId w:val="1"/>
              </w:numPr>
              <w:rPr>
                <w:lang w:eastAsia="en-GB"/>
              </w:rPr>
            </w:pPr>
            <w:r w:rsidRPr="0074572C">
              <w:rPr>
                <w:color w:val="000000" w:themeColor="text1"/>
                <w:lang w:eastAsia="en-GB"/>
              </w:rPr>
              <w:t>In the coda (from bar 144) there are three bars of G major</w:t>
            </w:r>
            <w:r>
              <w:rPr>
                <w:color w:val="000000" w:themeColor="text1"/>
                <w:lang w:eastAsia="en-GB"/>
              </w:rPr>
              <w:t xml:space="preserve"> with the upper parts playing G – B - G</w:t>
            </w:r>
            <w:r w:rsidRPr="0074572C">
              <w:rPr>
                <w:color w:val="000000" w:themeColor="text1"/>
                <w:lang w:eastAsia="en-GB"/>
              </w:rPr>
              <w:t>. The final two bars present three detached tonic chords played quietly</w:t>
            </w:r>
          </w:p>
        </w:tc>
      </w:tr>
      <w:tr w:rsidR="002E32A8" w:rsidTr="009C5011">
        <w:trPr>
          <w:cantSplit/>
          <w:trHeight w:val="1134"/>
        </w:trPr>
        <w:tc>
          <w:tcPr>
            <w:tcW w:w="709" w:type="dxa"/>
            <w:textDirection w:val="btLr"/>
          </w:tcPr>
          <w:p w:rsidR="002E32A8" w:rsidRDefault="002E32A8" w:rsidP="001A5BA7">
            <w:pPr>
              <w:pStyle w:val="NoSpacing"/>
              <w:ind w:left="113" w:right="113"/>
              <w:rPr>
                <w:lang w:eastAsia="en-GB"/>
              </w:rPr>
            </w:pPr>
            <w:r>
              <w:rPr>
                <w:lang w:eastAsia="en-GB"/>
              </w:rPr>
              <w:lastRenderedPageBreak/>
              <w:t>Structure and form</w:t>
            </w:r>
          </w:p>
        </w:tc>
        <w:tc>
          <w:tcPr>
            <w:tcW w:w="10773" w:type="dxa"/>
          </w:tcPr>
          <w:p w:rsidR="002E32A8" w:rsidRDefault="004D509C" w:rsidP="00804786">
            <w:pPr>
              <w:pStyle w:val="NoSpacing"/>
              <w:numPr>
                <w:ilvl w:val="0"/>
                <w:numId w:val="1"/>
              </w:numPr>
              <w:rPr>
                <w:lang w:eastAsia="en-GB"/>
              </w:rPr>
            </w:pPr>
            <w:r>
              <w:rPr>
                <w:lang w:eastAsia="en-GB"/>
              </w:rPr>
              <w:t>The first few bars 1-10 are varied on repetition later in the piece through… the addition of a flute that doubles the violins’ melody line / the viola playing triple-stopped chords instead of doubling the cello / the passing of a staccato quaver phrase from oboes to bassoons i</w:t>
            </w:r>
            <w:r w:rsidR="00520D4D">
              <w:rPr>
                <w:lang w:eastAsia="en-GB"/>
              </w:rPr>
              <w:t xml:space="preserve">n </w:t>
            </w:r>
            <w:r w:rsidR="00520D4D" w:rsidRPr="00520D4D">
              <w:rPr>
                <w:lang w:eastAsia="en-GB"/>
              </w:rPr>
              <w:t>bar</w:t>
            </w:r>
            <w:r w:rsidRPr="00520D4D">
              <w:rPr>
                <w:lang w:eastAsia="en-GB"/>
              </w:rPr>
              <w:t xml:space="preserve"> </w:t>
            </w:r>
            <w:r w:rsidR="00520D4D" w:rsidRPr="00520D4D">
              <w:rPr>
                <w:lang w:eastAsia="en-GB"/>
              </w:rPr>
              <w:t>31</w:t>
            </w:r>
            <w:r w:rsidRPr="00520D4D">
              <w:rPr>
                <w:lang w:eastAsia="en-GB"/>
              </w:rPr>
              <w:t xml:space="preserve"> / the </w:t>
            </w:r>
            <w:r w:rsidRPr="004D509C">
              <w:rPr>
                <w:lang w:eastAsia="en-GB"/>
              </w:rPr>
              <w:t>melodic and harmonic changes in bars 29-33</w:t>
            </w:r>
          </w:p>
          <w:p w:rsidR="003D175B" w:rsidRDefault="003D175B" w:rsidP="003D175B">
            <w:pPr>
              <w:pStyle w:val="NoSpacing"/>
              <w:numPr>
                <w:ilvl w:val="0"/>
                <w:numId w:val="1"/>
              </w:numPr>
              <w:rPr>
                <w:lang w:eastAsia="en-GB"/>
              </w:rPr>
            </w:pPr>
            <w:r>
              <w:rPr>
                <w:lang w:eastAsia="en-GB"/>
              </w:rPr>
              <w:t>When section one returns for the second time, it is based on the third bar of the main theme (the fourth bar of the movement)</w:t>
            </w:r>
          </w:p>
          <w:p w:rsidR="00CE5A97" w:rsidRPr="00520D4D" w:rsidRDefault="00CE5A97" w:rsidP="003D175B">
            <w:pPr>
              <w:pStyle w:val="NoSpacing"/>
              <w:numPr>
                <w:ilvl w:val="0"/>
                <w:numId w:val="1"/>
              </w:numPr>
              <w:rPr>
                <w:lang w:eastAsia="en-GB"/>
              </w:rPr>
            </w:pPr>
            <w:r w:rsidRPr="00520D4D">
              <w:rPr>
                <w:lang w:eastAsia="en-GB"/>
              </w:rPr>
              <w:t>SECOND RETURN OF SECTION ONE: 1</w:t>
            </w:r>
            <w:r w:rsidRPr="00520D4D">
              <w:rPr>
                <w:vertAlign w:val="superscript"/>
                <w:lang w:eastAsia="en-GB"/>
              </w:rPr>
              <w:t>st</w:t>
            </w:r>
            <w:r w:rsidRPr="00520D4D">
              <w:rPr>
                <w:lang w:eastAsia="en-GB"/>
              </w:rPr>
              <w:t xml:space="preserve"> violins introduce a new figure which is based on the notes of the underlying chord</w:t>
            </w:r>
          </w:p>
          <w:p w:rsidR="00050EBA" w:rsidRDefault="00050EBA" w:rsidP="003D175B">
            <w:pPr>
              <w:pStyle w:val="NoSpacing"/>
              <w:numPr>
                <w:ilvl w:val="0"/>
                <w:numId w:val="1"/>
              </w:numPr>
              <w:rPr>
                <w:lang w:eastAsia="en-GB"/>
              </w:rPr>
            </w:pPr>
            <w:r w:rsidRPr="00050EBA">
              <w:rPr>
                <w:lang w:eastAsia="en-GB"/>
              </w:rPr>
              <w:t xml:space="preserve">There is a complete bar of silence in the third return of section one </w:t>
            </w:r>
          </w:p>
          <w:p w:rsidR="0074572C" w:rsidRDefault="0074572C" w:rsidP="003D175B">
            <w:pPr>
              <w:pStyle w:val="NoSpacing"/>
              <w:numPr>
                <w:ilvl w:val="0"/>
                <w:numId w:val="1"/>
              </w:numPr>
              <w:rPr>
                <w:lang w:eastAsia="en-GB"/>
              </w:rPr>
            </w:pPr>
            <w:r>
              <w:rPr>
                <w:lang w:eastAsia="en-GB"/>
              </w:rPr>
              <w:t xml:space="preserve">Following this is the penultimate return of section one (from bar 111), the final return of section two (from bar 121), the final return of section 1 (from bar 135) and the Coda (from bar 144) </w:t>
            </w:r>
          </w:p>
        </w:tc>
      </w:tr>
      <w:tr w:rsidR="002E32A8" w:rsidTr="009C5011">
        <w:trPr>
          <w:cantSplit/>
          <w:trHeight w:val="1134"/>
        </w:trPr>
        <w:tc>
          <w:tcPr>
            <w:tcW w:w="709" w:type="dxa"/>
            <w:textDirection w:val="btLr"/>
          </w:tcPr>
          <w:p w:rsidR="002E32A8" w:rsidRDefault="002E32A8" w:rsidP="001A5BA7">
            <w:pPr>
              <w:pStyle w:val="NoSpacing"/>
              <w:ind w:left="113" w:right="113"/>
              <w:rPr>
                <w:lang w:eastAsia="en-GB"/>
              </w:rPr>
            </w:pPr>
            <w:r>
              <w:rPr>
                <w:lang w:eastAsia="en-GB"/>
              </w:rPr>
              <w:t>Sonority / timbre / instrumentation</w:t>
            </w:r>
          </w:p>
          <w:p w:rsidR="002E32A8" w:rsidRDefault="002E32A8" w:rsidP="001A5BA7">
            <w:pPr>
              <w:pStyle w:val="NoSpacing"/>
              <w:ind w:left="113" w:right="113"/>
              <w:rPr>
                <w:lang w:eastAsia="en-GB"/>
              </w:rPr>
            </w:pPr>
          </w:p>
        </w:tc>
        <w:tc>
          <w:tcPr>
            <w:tcW w:w="10773" w:type="dxa"/>
          </w:tcPr>
          <w:p w:rsidR="00804786" w:rsidRDefault="00804786" w:rsidP="00804786">
            <w:pPr>
              <w:pStyle w:val="NoSpacing"/>
              <w:numPr>
                <w:ilvl w:val="0"/>
                <w:numId w:val="1"/>
              </w:numPr>
              <w:rPr>
                <w:lang w:eastAsia="en-GB"/>
              </w:rPr>
            </w:pPr>
            <w:r>
              <w:t>The timpani are tuned to D (the dominant) and G (the tonic)</w:t>
            </w:r>
          </w:p>
          <w:p w:rsidR="004D509C" w:rsidRDefault="004D509C" w:rsidP="00804786">
            <w:pPr>
              <w:pStyle w:val="NoSpacing"/>
              <w:numPr>
                <w:ilvl w:val="0"/>
                <w:numId w:val="1"/>
              </w:numPr>
              <w:rPr>
                <w:lang w:eastAsia="en-GB"/>
              </w:rPr>
            </w:pPr>
            <w:r>
              <w:t>In bar 20-23, the first flute is heard for the first time, doubling the 1</w:t>
            </w:r>
            <w:r w:rsidRPr="004D509C">
              <w:rPr>
                <w:vertAlign w:val="superscript"/>
              </w:rPr>
              <w:t>st</w:t>
            </w:r>
            <w:r>
              <w:t xml:space="preserve"> violins</w:t>
            </w:r>
          </w:p>
          <w:p w:rsidR="00050EBA" w:rsidRDefault="00050EBA" w:rsidP="00804786">
            <w:pPr>
              <w:pStyle w:val="NoSpacing"/>
              <w:numPr>
                <w:ilvl w:val="0"/>
                <w:numId w:val="1"/>
              </w:numPr>
              <w:rPr>
                <w:lang w:eastAsia="en-GB"/>
              </w:rPr>
            </w:pPr>
            <w:r>
              <w:t>In the omission of lower strings in the third return of section one gives lightness to the piece.</w:t>
            </w:r>
          </w:p>
          <w:p w:rsidR="00050EBA" w:rsidRDefault="00050EBA" w:rsidP="00804786">
            <w:pPr>
              <w:pStyle w:val="NoSpacing"/>
              <w:numPr>
                <w:ilvl w:val="0"/>
                <w:numId w:val="1"/>
              </w:numPr>
              <w:rPr>
                <w:lang w:eastAsia="en-GB"/>
              </w:rPr>
            </w:pPr>
            <w:r>
              <w:t>In the third return of section one (bar 98 onwards), the 2</w:t>
            </w:r>
            <w:r w:rsidRPr="00050EBA">
              <w:rPr>
                <w:vertAlign w:val="superscript"/>
              </w:rPr>
              <w:t>nd</w:t>
            </w:r>
            <w:r>
              <w:t xml:space="preserve"> violins, joined one bar later by cellos and double basses, take up the ‘ticking’ figure. 1</w:t>
            </w:r>
            <w:r w:rsidRPr="00050EBA">
              <w:rPr>
                <w:vertAlign w:val="superscript"/>
              </w:rPr>
              <w:t>st</w:t>
            </w:r>
            <w:r w:rsidR="009C5011">
              <w:t xml:space="preserve"> violins enter in ba</w:t>
            </w:r>
            <w:r>
              <w:t>r 99 with the original melody, the orchestration boosted by sustained notes in the double-reed instruments and delicate decoration from flute 1.</w:t>
            </w:r>
          </w:p>
          <w:p w:rsidR="00701B8F" w:rsidRDefault="00701B8F" w:rsidP="00804786">
            <w:pPr>
              <w:pStyle w:val="NoSpacing"/>
              <w:numPr>
                <w:ilvl w:val="0"/>
                <w:numId w:val="1"/>
              </w:numPr>
              <w:rPr>
                <w:lang w:eastAsia="en-GB"/>
              </w:rPr>
            </w:pPr>
            <w:r>
              <w:t>In the third return of section one, all woodwind and string instruments alternate D and C# for two bars. 1</w:t>
            </w:r>
            <w:r w:rsidRPr="00701B8F">
              <w:rPr>
                <w:vertAlign w:val="superscript"/>
              </w:rPr>
              <w:t>st</w:t>
            </w:r>
            <w:r>
              <w:t xml:space="preserve"> violins continue alone but gradually rise through the octave before being joined by flute 1 for one more bar</w:t>
            </w:r>
          </w:p>
          <w:p w:rsidR="0055473B" w:rsidRDefault="0055473B" w:rsidP="00804786">
            <w:pPr>
              <w:pStyle w:val="NoSpacing"/>
              <w:numPr>
                <w:ilvl w:val="0"/>
                <w:numId w:val="1"/>
              </w:numPr>
              <w:rPr>
                <w:lang w:eastAsia="en-GB"/>
              </w:rPr>
            </w:pPr>
            <w:r>
              <w:t xml:space="preserve">In the final return of section two, near the end (from bar 121), </w:t>
            </w:r>
            <w:r w:rsidR="0074572C">
              <w:t>there is much fuller orchestration</w:t>
            </w:r>
          </w:p>
        </w:tc>
      </w:tr>
      <w:tr w:rsidR="002E32A8" w:rsidTr="009C5011">
        <w:trPr>
          <w:cantSplit/>
          <w:trHeight w:val="1134"/>
        </w:trPr>
        <w:tc>
          <w:tcPr>
            <w:tcW w:w="709" w:type="dxa"/>
            <w:textDirection w:val="btLr"/>
          </w:tcPr>
          <w:p w:rsidR="002E32A8" w:rsidRDefault="002E32A8" w:rsidP="001A5BA7">
            <w:pPr>
              <w:pStyle w:val="NoSpacing"/>
              <w:ind w:left="113" w:right="113"/>
              <w:rPr>
                <w:lang w:eastAsia="en-GB"/>
              </w:rPr>
            </w:pPr>
            <w:r>
              <w:rPr>
                <w:lang w:eastAsia="en-GB"/>
              </w:rPr>
              <w:t>Texture</w:t>
            </w:r>
          </w:p>
          <w:p w:rsidR="002E32A8" w:rsidRPr="00AB7CF3" w:rsidRDefault="002E32A8" w:rsidP="001A5BA7">
            <w:pPr>
              <w:pStyle w:val="NoSpacing"/>
              <w:ind w:left="113" w:right="113"/>
              <w:rPr>
                <w:lang w:eastAsia="en-GB"/>
              </w:rPr>
            </w:pPr>
            <w:r w:rsidRPr="00AB7CF3">
              <w:rPr>
                <w:lang w:eastAsia="en-GB"/>
              </w:rPr>
              <w:t xml:space="preserve"> </w:t>
            </w:r>
          </w:p>
          <w:p w:rsidR="002E32A8" w:rsidRDefault="002E32A8" w:rsidP="001A5BA7">
            <w:pPr>
              <w:pStyle w:val="NoSpacing"/>
              <w:ind w:left="113" w:right="113"/>
              <w:rPr>
                <w:lang w:eastAsia="en-GB"/>
              </w:rPr>
            </w:pPr>
          </w:p>
        </w:tc>
        <w:tc>
          <w:tcPr>
            <w:tcW w:w="10773" w:type="dxa"/>
          </w:tcPr>
          <w:p w:rsidR="002E32A8" w:rsidRDefault="000B54D2" w:rsidP="00804786">
            <w:pPr>
              <w:pStyle w:val="NoSpacing"/>
              <w:numPr>
                <w:ilvl w:val="0"/>
                <w:numId w:val="1"/>
              </w:numPr>
              <w:rPr>
                <w:lang w:eastAsia="en-GB"/>
              </w:rPr>
            </w:pPr>
            <w:r>
              <w:rPr>
                <w:lang w:eastAsia="en-GB"/>
              </w:rPr>
              <w:t>Beneath the oboe’s inverted pedal in bar 16, cellos and basses (who also have the pedal) alternate with quavers which rise in sequence from bar to bar.</w:t>
            </w:r>
          </w:p>
          <w:p w:rsidR="003D175B" w:rsidRDefault="003D175B" w:rsidP="00804786">
            <w:pPr>
              <w:pStyle w:val="NoSpacing"/>
              <w:numPr>
                <w:ilvl w:val="0"/>
                <w:numId w:val="1"/>
              </w:numPr>
              <w:rPr>
                <w:lang w:eastAsia="en-GB"/>
              </w:rPr>
            </w:pPr>
            <w:r>
              <w:rPr>
                <w:lang w:eastAsia="en-GB"/>
              </w:rPr>
              <w:t xml:space="preserve">Antiphonal writing can be seen </w:t>
            </w:r>
            <w:r w:rsidRPr="00520D4D">
              <w:rPr>
                <w:lang w:eastAsia="en-GB"/>
              </w:rPr>
              <w:t xml:space="preserve">in bar 40 where </w:t>
            </w:r>
            <w:r>
              <w:rPr>
                <w:lang w:eastAsia="en-GB"/>
              </w:rPr>
              <w:t>the 1</w:t>
            </w:r>
            <w:r w:rsidRPr="003D175B">
              <w:rPr>
                <w:vertAlign w:val="superscript"/>
                <w:lang w:eastAsia="en-GB"/>
              </w:rPr>
              <w:t>st</w:t>
            </w:r>
            <w:r>
              <w:rPr>
                <w:lang w:eastAsia="en-GB"/>
              </w:rPr>
              <w:t xml:space="preserve"> violins demisemiquavers are answered by a similar phrase in 2</w:t>
            </w:r>
            <w:r w:rsidRPr="003D175B">
              <w:rPr>
                <w:vertAlign w:val="superscript"/>
                <w:lang w:eastAsia="en-GB"/>
              </w:rPr>
              <w:t>nd</w:t>
            </w:r>
            <w:r>
              <w:rPr>
                <w:lang w:eastAsia="en-GB"/>
              </w:rPr>
              <w:t xml:space="preserve"> violins and violas</w:t>
            </w:r>
          </w:p>
        </w:tc>
      </w:tr>
      <w:tr w:rsidR="002E32A8" w:rsidTr="009C5011">
        <w:trPr>
          <w:cantSplit/>
          <w:trHeight w:val="1134"/>
        </w:trPr>
        <w:tc>
          <w:tcPr>
            <w:tcW w:w="709" w:type="dxa"/>
            <w:textDirection w:val="btLr"/>
          </w:tcPr>
          <w:p w:rsidR="002E32A8" w:rsidRPr="001A5BA7" w:rsidRDefault="001A5BA7" w:rsidP="001A5BA7">
            <w:pPr>
              <w:pStyle w:val="NoSpacing"/>
              <w:ind w:left="113" w:right="113"/>
              <w:rPr>
                <w:sz w:val="20"/>
                <w:szCs w:val="20"/>
                <w:lang w:eastAsia="en-GB"/>
              </w:rPr>
            </w:pPr>
            <w:r w:rsidRPr="001A5BA7">
              <w:rPr>
                <w:sz w:val="20"/>
                <w:szCs w:val="20"/>
                <w:lang w:eastAsia="en-GB"/>
              </w:rPr>
              <w:t>Tempo/metre</w:t>
            </w:r>
            <w:r w:rsidR="002E32A8" w:rsidRPr="001A5BA7">
              <w:rPr>
                <w:sz w:val="20"/>
                <w:szCs w:val="20"/>
                <w:lang w:eastAsia="en-GB"/>
              </w:rPr>
              <w:t>/</w:t>
            </w:r>
            <w:r w:rsidRPr="001A5BA7">
              <w:rPr>
                <w:sz w:val="20"/>
                <w:szCs w:val="20"/>
                <w:lang w:eastAsia="en-GB"/>
              </w:rPr>
              <w:t>r</w:t>
            </w:r>
            <w:r w:rsidR="002E32A8" w:rsidRPr="001A5BA7">
              <w:rPr>
                <w:sz w:val="20"/>
                <w:szCs w:val="20"/>
                <w:lang w:eastAsia="en-GB"/>
              </w:rPr>
              <w:t>hyth</w:t>
            </w:r>
            <w:r w:rsidRPr="001A5BA7">
              <w:rPr>
                <w:sz w:val="20"/>
                <w:szCs w:val="20"/>
                <w:lang w:eastAsia="en-GB"/>
              </w:rPr>
              <w:t>m</w:t>
            </w:r>
          </w:p>
        </w:tc>
        <w:tc>
          <w:tcPr>
            <w:tcW w:w="10773" w:type="dxa"/>
          </w:tcPr>
          <w:p w:rsidR="002E32A8" w:rsidRDefault="000B54D2" w:rsidP="00804786">
            <w:pPr>
              <w:pStyle w:val="NoSpacing"/>
              <w:numPr>
                <w:ilvl w:val="0"/>
                <w:numId w:val="1"/>
              </w:numPr>
              <w:rPr>
                <w:lang w:eastAsia="en-GB"/>
              </w:rPr>
            </w:pPr>
            <w:r>
              <w:rPr>
                <w:lang w:eastAsia="en-GB"/>
              </w:rPr>
              <w:t>The melody has a distinctive dotted rhythm</w:t>
            </w:r>
          </w:p>
          <w:p w:rsidR="003D175B" w:rsidRDefault="003D175B" w:rsidP="00804786">
            <w:pPr>
              <w:pStyle w:val="NoSpacing"/>
              <w:numPr>
                <w:ilvl w:val="0"/>
                <w:numId w:val="1"/>
              </w:numPr>
              <w:rPr>
                <w:lang w:eastAsia="en-GB"/>
              </w:rPr>
            </w:pPr>
            <w:r w:rsidRPr="00520D4D">
              <w:rPr>
                <w:lang w:eastAsia="en-GB"/>
              </w:rPr>
              <w:t xml:space="preserve">At bar 50, woodwind </w:t>
            </w:r>
            <w:r>
              <w:rPr>
                <w:lang w:eastAsia="en-GB"/>
              </w:rPr>
              <w:t>instruments play the chords in the dotted rhythm used frequently in this section</w:t>
            </w:r>
            <w:r w:rsidR="00CE5A97">
              <w:rPr>
                <w:lang w:eastAsia="en-GB"/>
              </w:rPr>
              <w:t xml:space="preserve"> while the bass parts play staccato quavers. </w:t>
            </w:r>
          </w:p>
          <w:p w:rsidR="00CE5A97" w:rsidRDefault="00CE5A97" w:rsidP="00804786">
            <w:pPr>
              <w:pStyle w:val="NoSpacing"/>
              <w:numPr>
                <w:ilvl w:val="0"/>
                <w:numId w:val="1"/>
              </w:numPr>
              <w:rPr>
                <w:lang w:eastAsia="en-GB"/>
              </w:rPr>
            </w:pPr>
            <w:r>
              <w:rPr>
                <w:lang w:eastAsia="en-GB"/>
              </w:rPr>
              <w:t>2</w:t>
            </w:r>
            <w:r w:rsidRPr="00CE5A97">
              <w:rPr>
                <w:vertAlign w:val="superscript"/>
                <w:lang w:eastAsia="en-GB"/>
              </w:rPr>
              <w:t>nd</w:t>
            </w:r>
            <w:r>
              <w:rPr>
                <w:lang w:eastAsia="en-GB"/>
              </w:rPr>
              <w:t xml:space="preserve"> violins and violas continue the semiquaver pattern introduced in bar 40</w:t>
            </w:r>
          </w:p>
          <w:p w:rsidR="0055473B" w:rsidRDefault="00701B8F" w:rsidP="0055473B">
            <w:pPr>
              <w:pStyle w:val="NoSpacing"/>
              <w:numPr>
                <w:ilvl w:val="0"/>
                <w:numId w:val="1"/>
              </w:numPr>
              <w:rPr>
                <w:lang w:eastAsia="en-GB"/>
              </w:rPr>
            </w:pPr>
            <w:r>
              <w:rPr>
                <w:lang w:eastAsia="en-GB"/>
              </w:rPr>
              <w:t>During the penultimate return of section one, flutes, oboe 1 and 1</w:t>
            </w:r>
            <w:r w:rsidRPr="00701B8F">
              <w:rPr>
                <w:vertAlign w:val="superscript"/>
                <w:lang w:eastAsia="en-GB"/>
              </w:rPr>
              <w:t>st</w:t>
            </w:r>
            <w:r>
              <w:rPr>
                <w:lang w:eastAsia="en-GB"/>
              </w:rPr>
              <w:t xml:space="preserve"> violins come in with the main melody while the 2</w:t>
            </w:r>
            <w:r w:rsidRPr="00701B8F">
              <w:rPr>
                <w:vertAlign w:val="superscript"/>
                <w:lang w:eastAsia="en-GB"/>
              </w:rPr>
              <w:t>nd</w:t>
            </w:r>
            <w:r>
              <w:rPr>
                <w:lang w:eastAsia="en-GB"/>
              </w:rPr>
              <w:t xml:space="preserve"> violins introduce a new sextuplet variation on the accompaniment figure which is made of staccato , semiquaver broken chords of G major. This new rhythmic idea is soon incorporated into the melody, varying this return even more.</w:t>
            </w:r>
            <w:r w:rsidR="0055473B">
              <w:rPr>
                <w:lang w:eastAsia="en-GB"/>
              </w:rPr>
              <w:t xml:space="preserve"> These sextuplets also appear in the final return of section two</w:t>
            </w:r>
          </w:p>
        </w:tc>
      </w:tr>
      <w:tr w:rsidR="002E32A8" w:rsidTr="009C5011">
        <w:trPr>
          <w:cantSplit/>
          <w:trHeight w:val="1134"/>
        </w:trPr>
        <w:tc>
          <w:tcPr>
            <w:tcW w:w="709" w:type="dxa"/>
            <w:textDirection w:val="btLr"/>
          </w:tcPr>
          <w:p w:rsidR="002E32A8" w:rsidRDefault="002E32A8" w:rsidP="001A5BA7">
            <w:pPr>
              <w:pStyle w:val="NoSpacing"/>
              <w:ind w:left="113" w:right="113"/>
              <w:rPr>
                <w:lang w:eastAsia="en-GB"/>
              </w:rPr>
            </w:pPr>
            <w:r>
              <w:rPr>
                <w:lang w:eastAsia="en-GB"/>
              </w:rPr>
              <w:t>Dynamics / articulation</w:t>
            </w:r>
          </w:p>
          <w:p w:rsidR="002E32A8" w:rsidRDefault="002E32A8" w:rsidP="001A5BA7">
            <w:pPr>
              <w:pStyle w:val="NoSpacing"/>
              <w:ind w:left="113" w:right="113"/>
              <w:rPr>
                <w:lang w:eastAsia="en-GB"/>
              </w:rPr>
            </w:pPr>
          </w:p>
        </w:tc>
        <w:tc>
          <w:tcPr>
            <w:tcW w:w="10773" w:type="dxa"/>
          </w:tcPr>
          <w:p w:rsidR="002E32A8" w:rsidRDefault="00804786" w:rsidP="00804786">
            <w:pPr>
              <w:pStyle w:val="NoSpacing"/>
              <w:numPr>
                <w:ilvl w:val="0"/>
                <w:numId w:val="1"/>
              </w:numPr>
              <w:rPr>
                <w:lang w:eastAsia="en-GB"/>
              </w:rPr>
            </w:pPr>
            <w:r>
              <w:rPr>
                <w:lang w:eastAsia="en-GB"/>
              </w:rPr>
              <w:t>At the beginning Bassoons play staccato and 2</w:t>
            </w:r>
            <w:r w:rsidRPr="00804786">
              <w:rPr>
                <w:vertAlign w:val="superscript"/>
                <w:lang w:eastAsia="en-GB"/>
              </w:rPr>
              <w:t>nd</w:t>
            </w:r>
            <w:r>
              <w:rPr>
                <w:lang w:eastAsia="en-GB"/>
              </w:rPr>
              <w:t xml:space="preserve"> violins, cellos and double basses play pizzicato. This creates a ‘ticking’ effect. </w:t>
            </w:r>
          </w:p>
          <w:p w:rsidR="00804786" w:rsidRDefault="00804786" w:rsidP="00804786">
            <w:pPr>
              <w:pStyle w:val="NoSpacing"/>
              <w:numPr>
                <w:ilvl w:val="0"/>
                <w:numId w:val="1"/>
              </w:numPr>
              <w:rPr>
                <w:lang w:eastAsia="en-GB"/>
              </w:rPr>
            </w:pPr>
            <w:r>
              <w:rPr>
                <w:lang w:eastAsia="en-GB"/>
              </w:rPr>
              <w:t>The melody alternates between quiet (p-piano) and loud (f – forte) (bars 11-23)</w:t>
            </w:r>
          </w:p>
          <w:p w:rsidR="000B54D2" w:rsidRDefault="000B54D2" w:rsidP="00804786">
            <w:pPr>
              <w:pStyle w:val="NoSpacing"/>
              <w:numPr>
                <w:ilvl w:val="0"/>
                <w:numId w:val="1"/>
              </w:numPr>
              <w:rPr>
                <w:lang w:eastAsia="en-GB"/>
              </w:rPr>
            </w:pPr>
            <w:r>
              <w:rPr>
                <w:lang w:eastAsia="en-GB"/>
              </w:rPr>
              <w:t>The pizzicato accompaniment gets replaces by the 2</w:t>
            </w:r>
            <w:r w:rsidRPr="000B54D2">
              <w:rPr>
                <w:vertAlign w:val="superscript"/>
                <w:lang w:eastAsia="en-GB"/>
              </w:rPr>
              <w:t>nd</w:t>
            </w:r>
            <w:r>
              <w:rPr>
                <w:lang w:eastAsia="en-GB"/>
              </w:rPr>
              <w:t xml:space="preserve"> violins, cellos and basses playing </w:t>
            </w:r>
            <w:proofErr w:type="spellStart"/>
            <w:r>
              <w:rPr>
                <w:lang w:eastAsia="en-GB"/>
              </w:rPr>
              <w:t>arco</w:t>
            </w:r>
            <w:proofErr w:type="spellEnd"/>
            <w:r>
              <w:rPr>
                <w:lang w:eastAsia="en-GB"/>
              </w:rPr>
              <w:t xml:space="preserve"> (with the bow)</w:t>
            </w:r>
          </w:p>
          <w:p w:rsidR="003D175B" w:rsidRDefault="003D175B" w:rsidP="00804786">
            <w:pPr>
              <w:pStyle w:val="NoSpacing"/>
              <w:numPr>
                <w:ilvl w:val="0"/>
                <w:numId w:val="1"/>
              </w:numPr>
              <w:rPr>
                <w:lang w:eastAsia="en-GB"/>
              </w:rPr>
            </w:pPr>
            <w:r>
              <w:rPr>
                <w:lang w:eastAsia="en-GB"/>
              </w:rPr>
              <w:t xml:space="preserve">When section one returns for the second time, the brass instruments and timpani enter with dynamics sustained at f (forte). </w:t>
            </w:r>
          </w:p>
          <w:p w:rsidR="00050EBA" w:rsidRPr="00520D4D" w:rsidRDefault="00050EBA" w:rsidP="00804786">
            <w:pPr>
              <w:pStyle w:val="NoSpacing"/>
              <w:numPr>
                <w:ilvl w:val="0"/>
                <w:numId w:val="1"/>
              </w:numPr>
              <w:rPr>
                <w:lang w:eastAsia="en-GB"/>
              </w:rPr>
            </w:pPr>
            <w:r>
              <w:rPr>
                <w:lang w:eastAsia="en-GB"/>
              </w:rPr>
              <w:t xml:space="preserve">In the third return of section one, the flutes and bassoons take on the ‘ticking accompaniment to </w:t>
            </w:r>
            <w:r w:rsidRPr="00520D4D">
              <w:rPr>
                <w:lang w:eastAsia="en-GB"/>
              </w:rPr>
              <w:t>the first violins’ melody with a single phrase from the oboe in bars 66-67</w:t>
            </w:r>
          </w:p>
          <w:p w:rsidR="00701B8F" w:rsidRDefault="00701B8F" w:rsidP="00804786">
            <w:pPr>
              <w:pStyle w:val="NoSpacing"/>
              <w:numPr>
                <w:ilvl w:val="0"/>
                <w:numId w:val="1"/>
              </w:numPr>
              <w:rPr>
                <w:lang w:eastAsia="en-GB"/>
              </w:rPr>
            </w:pPr>
            <w:r w:rsidRPr="00701B8F">
              <w:rPr>
                <w:lang w:eastAsia="en-GB"/>
              </w:rPr>
              <w:t>In the penultimate return of section one (bar 111) bassoons, 2</w:t>
            </w:r>
            <w:r w:rsidRPr="00701B8F">
              <w:rPr>
                <w:vertAlign w:val="superscript"/>
                <w:lang w:eastAsia="en-GB"/>
              </w:rPr>
              <w:t>nd</w:t>
            </w:r>
            <w:r w:rsidRPr="00701B8F">
              <w:rPr>
                <w:lang w:eastAsia="en-GB"/>
              </w:rPr>
              <w:t xml:space="preserve"> violins and violas play to represent the ‘ticking’. They are then joined by oboes, clarinets, horns, trumpets, cellos and double basses</w:t>
            </w:r>
          </w:p>
          <w:p w:rsidR="0074572C" w:rsidRDefault="0074572C" w:rsidP="0074572C">
            <w:pPr>
              <w:pStyle w:val="NoSpacing"/>
              <w:numPr>
                <w:ilvl w:val="0"/>
                <w:numId w:val="1"/>
              </w:numPr>
              <w:rPr>
                <w:lang w:eastAsia="en-GB"/>
              </w:rPr>
            </w:pPr>
            <w:r>
              <w:rPr>
                <w:lang w:eastAsia="en-GB"/>
              </w:rPr>
              <w:t>The ‘ticking’ accompaniment can also be heard in the coda which brings the movement to a close.</w:t>
            </w:r>
          </w:p>
        </w:tc>
      </w:tr>
    </w:tbl>
    <w:p w:rsidR="0008516A" w:rsidRDefault="0008516A" w:rsidP="00520D4D"/>
    <w:sectPr w:rsidR="0008516A" w:rsidSect="009C501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35409"/>
    <w:multiLevelType w:val="hybridMultilevel"/>
    <w:tmpl w:val="EB78EB22"/>
    <w:lvl w:ilvl="0" w:tplc="12AEE0B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E1"/>
    <w:rsid w:val="000019E7"/>
    <w:rsid w:val="00001EF0"/>
    <w:rsid w:val="0000215E"/>
    <w:rsid w:val="0000412A"/>
    <w:rsid w:val="00004155"/>
    <w:rsid w:val="0000552D"/>
    <w:rsid w:val="00006FD4"/>
    <w:rsid w:val="00012B3E"/>
    <w:rsid w:val="000149EE"/>
    <w:rsid w:val="000173AE"/>
    <w:rsid w:val="00020A2B"/>
    <w:rsid w:val="00024523"/>
    <w:rsid w:val="0002553C"/>
    <w:rsid w:val="000267F5"/>
    <w:rsid w:val="00027247"/>
    <w:rsid w:val="00030BC8"/>
    <w:rsid w:val="0003265E"/>
    <w:rsid w:val="00037766"/>
    <w:rsid w:val="00042A82"/>
    <w:rsid w:val="00047E58"/>
    <w:rsid w:val="00050EBA"/>
    <w:rsid w:val="00053E74"/>
    <w:rsid w:val="00054BBB"/>
    <w:rsid w:val="0005560A"/>
    <w:rsid w:val="00055F39"/>
    <w:rsid w:val="00060F74"/>
    <w:rsid w:val="00062247"/>
    <w:rsid w:val="00062A3A"/>
    <w:rsid w:val="000633B9"/>
    <w:rsid w:val="00063D65"/>
    <w:rsid w:val="00063E2B"/>
    <w:rsid w:val="00070603"/>
    <w:rsid w:val="00071863"/>
    <w:rsid w:val="00072DA2"/>
    <w:rsid w:val="00074108"/>
    <w:rsid w:val="00074E97"/>
    <w:rsid w:val="00075395"/>
    <w:rsid w:val="00081B32"/>
    <w:rsid w:val="0008516A"/>
    <w:rsid w:val="00085CA4"/>
    <w:rsid w:val="00087459"/>
    <w:rsid w:val="00094887"/>
    <w:rsid w:val="00094E3B"/>
    <w:rsid w:val="00095473"/>
    <w:rsid w:val="000954DC"/>
    <w:rsid w:val="0009670B"/>
    <w:rsid w:val="00096A50"/>
    <w:rsid w:val="00096BD8"/>
    <w:rsid w:val="000A069E"/>
    <w:rsid w:val="000A1EB8"/>
    <w:rsid w:val="000A44D9"/>
    <w:rsid w:val="000A457A"/>
    <w:rsid w:val="000A54F9"/>
    <w:rsid w:val="000A59C9"/>
    <w:rsid w:val="000A6B68"/>
    <w:rsid w:val="000A77AD"/>
    <w:rsid w:val="000B4598"/>
    <w:rsid w:val="000B51BF"/>
    <w:rsid w:val="000B54D2"/>
    <w:rsid w:val="000C23BE"/>
    <w:rsid w:val="000C73BC"/>
    <w:rsid w:val="000D4721"/>
    <w:rsid w:val="000D4EAA"/>
    <w:rsid w:val="000D5894"/>
    <w:rsid w:val="000D5B64"/>
    <w:rsid w:val="000D61BE"/>
    <w:rsid w:val="000D79B2"/>
    <w:rsid w:val="000E1299"/>
    <w:rsid w:val="000E1D3D"/>
    <w:rsid w:val="000E1D98"/>
    <w:rsid w:val="000E3B91"/>
    <w:rsid w:val="000E6075"/>
    <w:rsid w:val="000E7C4C"/>
    <w:rsid w:val="000F2526"/>
    <w:rsid w:val="000F3D9D"/>
    <w:rsid w:val="000F3EEC"/>
    <w:rsid w:val="000F491A"/>
    <w:rsid w:val="00103ABB"/>
    <w:rsid w:val="0010538F"/>
    <w:rsid w:val="0010639D"/>
    <w:rsid w:val="00107FFD"/>
    <w:rsid w:val="001155E7"/>
    <w:rsid w:val="00123B69"/>
    <w:rsid w:val="0012419B"/>
    <w:rsid w:val="0012599E"/>
    <w:rsid w:val="0012638C"/>
    <w:rsid w:val="001271C1"/>
    <w:rsid w:val="00133437"/>
    <w:rsid w:val="00135528"/>
    <w:rsid w:val="00136708"/>
    <w:rsid w:val="00136AA4"/>
    <w:rsid w:val="00137E54"/>
    <w:rsid w:val="001435D0"/>
    <w:rsid w:val="00150EF7"/>
    <w:rsid w:val="00150FF9"/>
    <w:rsid w:val="00151A2D"/>
    <w:rsid w:val="00153E0D"/>
    <w:rsid w:val="001547F9"/>
    <w:rsid w:val="00156B53"/>
    <w:rsid w:val="00157A0C"/>
    <w:rsid w:val="00160951"/>
    <w:rsid w:val="0016123C"/>
    <w:rsid w:val="00161C9E"/>
    <w:rsid w:val="00162143"/>
    <w:rsid w:val="00164DB2"/>
    <w:rsid w:val="001652C9"/>
    <w:rsid w:val="00165B04"/>
    <w:rsid w:val="001668FF"/>
    <w:rsid w:val="00170F9A"/>
    <w:rsid w:val="001734B6"/>
    <w:rsid w:val="0018168C"/>
    <w:rsid w:val="00182539"/>
    <w:rsid w:val="00187A31"/>
    <w:rsid w:val="001938C1"/>
    <w:rsid w:val="00194B08"/>
    <w:rsid w:val="00194BE7"/>
    <w:rsid w:val="00196721"/>
    <w:rsid w:val="001A38A9"/>
    <w:rsid w:val="001A53D6"/>
    <w:rsid w:val="001A58A4"/>
    <w:rsid w:val="001A5BA7"/>
    <w:rsid w:val="001B1EB4"/>
    <w:rsid w:val="001B22A0"/>
    <w:rsid w:val="001B79C3"/>
    <w:rsid w:val="001B7A61"/>
    <w:rsid w:val="001B7C67"/>
    <w:rsid w:val="001C4683"/>
    <w:rsid w:val="001C5EFF"/>
    <w:rsid w:val="001C6860"/>
    <w:rsid w:val="001D039A"/>
    <w:rsid w:val="001D0CC4"/>
    <w:rsid w:val="001D1E26"/>
    <w:rsid w:val="001D2FFD"/>
    <w:rsid w:val="001D6039"/>
    <w:rsid w:val="001D7CE5"/>
    <w:rsid w:val="001E0F7C"/>
    <w:rsid w:val="001E179A"/>
    <w:rsid w:val="001E3A18"/>
    <w:rsid w:val="001E4E47"/>
    <w:rsid w:val="001E5001"/>
    <w:rsid w:val="001F05C9"/>
    <w:rsid w:val="001F09C3"/>
    <w:rsid w:val="001F0F36"/>
    <w:rsid w:val="001F16BA"/>
    <w:rsid w:val="00201E12"/>
    <w:rsid w:val="002050A8"/>
    <w:rsid w:val="00210D25"/>
    <w:rsid w:val="00216321"/>
    <w:rsid w:val="00220105"/>
    <w:rsid w:val="00221EB1"/>
    <w:rsid w:val="00224280"/>
    <w:rsid w:val="00224654"/>
    <w:rsid w:val="002251ED"/>
    <w:rsid w:val="00226D07"/>
    <w:rsid w:val="0022789F"/>
    <w:rsid w:val="00231410"/>
    <w:rsid w:val="00232E86"/>
    <w:rsid w:val="00235489"/>
    <w:rsid w:val="00236503"/>
    <w:rsid w:val="002373B5"/>
    <w:rsid w:val="00240DF6"/>
    <w:rsid w:val="00243F7B"/>
    <w:rsid w:val="00246A3C"/>
    <w:rsid w:val="00246E05"/>
    <w:rsid w:val="00251A40"/>
    <w:rsid w:val="00251C7E"/>
    <w:rsid w:val="00251F71"/>
    <w:rsid w:val="002535C6"/>
    <w:rsid w:val="0025631C"/>
    <w:rsid w:val="00256751"/>
    <w:rsid w:val="00257ADD"/>
    <w:rsid w:val="00260262"/>
    <w:rsid w:val="0026087F"/>
    <w:rsid w:val="00262E09"/>
    <w:rsid w:val="00262EED"/>
    <w:rsid w:val="002654D3"/>
    <w:rsid w:val="00266D7D"/>
    <w:rsid w:val="00267213"/>
    <w:rsid w:val="0026746F"/>
    <w:rsid w:val="00274619"/>
    <w:rsid w:val="0027724B"/>
    <w:rsid w:val="00281C08"/>
    <w:rsid w:val="002832E8"/>
    <w:rsid w:val="00286768"/>
    <w:rsid w:val="00291DA4"/>
    <w:rsid w:val="002937A1"/>
    <w:rsid w:val="002953E2"/>
    <w:rsid w:val="002958EC"/>
    <w:rsid w:val="002A1A5F"/>
    <w:rsid w:val="002A28E5"/>
    <w:rsid w:val="002A47A4"/>
    <w:rsid w:val="002A6A8A"/>
    <w:rsid w:val="002B0C7D"/>
    <w:rsid w:val="002B169E"/>
    <w:rsid w:val="002B1B6D"/>
    <w:rsid w:val="002B40B2"/>
    <w:rsid w:val="002B63B5"/>
    <w:rsid w:val="002B794D"/>
    <w:rsid w:val="002B7B45"/>
    <w:rsid w:val="002C0B61"/>
    <w:rsid w:val="002C1E45"/>
    <w:rsid w:val="002C243F"/>
    <w:rsid w:val="002C379D"/>
    <w:rsid w:val="002C757A"/>
    <w:rsid w:val="002C7A2F"/>
    <w:rsid w:val="002D3C8D"/>
    <w:rsid w:val="002D5714"/>
    <w:rsid w:val="002D7359"/>
    <w:rsid w:val="002E11B4"/>
    <w:rsid w:val="002E32A8"/>
    <w:rsid w:val="002E33DE"/>
    <w:rsid w:val="002E6AE1"/>
    <w:rsid w:val="002F00DD"/>
    <w:rsid w:val="002F0FB8"/>
    <w:rsid w:val="003013B3"/>
    <w:rsid w:val="003057EE"/>
    <w:rsid w:val="003111CD"/>
    <w:rsid w:val="00312C5F"/>
    <w:rsid w:val="003147F0"/>
    <w:rsid w:val="00315E3E"/>
    <w:rsid w:val="00316E3F"/>
    <w:rsid w:val="00317259"/>
    <w:rsid w:val="003175C9"/>
    <w:rsid w:val="00317D66"/>
    <w:rsid w:val="0032131E"/>
    <w:rsid w:val="00322C57"/>
    <w:rsid w:val="00326603"/>
    <w:rsid w:val="00332EEE"/>
    <w:rsid w:val="00335158"/>
    <w:rsid w:val="00335314"/>
    <w:rsid w:val="00337805"/>
    <w:rsid w:val="00340196"/>
    <w:rsid w:val="00342CCB"/>
    <w:rsid w:val="00344232"/>
    <w:rsid w:val="00344B8A"/>
    <w:rsid w:val="003457CA"/>
    <w:rsid w:val="00361F59"/>
    <w:rsid w:val="00362169"/>
    <w:rsid w:val="00363DD6"/>
    <w:rsid w:val="00367071"/>
    <w:rsid w:val="0036791B"/>
    <w:rsid w:val="00370ABF"/>
    <w:rsid w:val="003732B9"/>
    <w:rsid w:val="00373D0A"/>
    <w:rsid w:val="00373E25"/>
    <w:rsid w:val="00385717"/>
    <w:rsid w:val="00385A66"/>
    <w:rsid w:val="00386FAE"/>
    <w:rsid w:val="00391EF6"/>
    <w:rsid w:val="0039343E"/>
    <w:rsid w:val="0039394A"/>
    <w:rsid w:val="00394B63"/>
    <w:rsid w:val="00395DF7"/>
    <w:rsid w:val="00396E81"/>
    <w:rsid w:val="00397B16"/>
    <w:rsid w:val="003A0941"/>
    <w:rsid w:val="003A2F6C"/>
    <w:rsid w:val="003B3764"/>
    <w:rsid w:val="003B6403"/>
    <w:rsid w:val="003B70B7"/>
    <w:rsid w:val="003C2D2D"/>
    <w:rsid w:val="003C56BB"/>
    <w:rsid w:val="003D0C57"/>
    <w:rsid w:val="003D175B"/>
    <w:rsid w:val="003D23CE"/>
    <w:rsid w:val="003D466C"/>
    <w:rsid w:val="003D7808"/>
    <w:rsid w:val="003E283F"/>
    <w:rsid w:val="003E329E"/>
    <w:rsid w:val="003E7703"/>
    <w:rsid w:val="003F1842"/>
    <w:rsid w:val="003F6117"/>
    <w:rsid w:val="004032EE"/>
    <w:rsid w:val="0040569A"/>
    <w:rsid w:val="00407346"/>
    <w:rsid w:val="0041094C"/>
    <w:rsid w:val="00411526"/>
    <w:rsid w:val="00411941"/>
    <w:rsid w:val="00412AF2"/>
    <w:rsid w:val="0041570B"/>
    <w:rsid w:val="00416FEE"/>
    <w:rsid w:val="00417698"/>
    <w:rsid w:val="0042032C"/>
    <w:rsid w:val="00423631"/>
    <w:rsid w:val="00425667"/>
    <w:rsid w:val="0042580B"/>
    <w:rsid w:val="004273BC"/>
    <w:rsid w:val="004278FB"/>
    <w:rsid w:val="00430CC2"/>
    <w:rsid w:val="00433614"/>
    <w:rsid w:val="004404CB"/>
    <w:rsid w:val="00444193"/>
    <w:rsid w:val="00445488"/>
    <w:rsid w:val="004462BB"/>
    <w:rsid w:val="00447014"/>
    <w:rsid w:val="004512E2"/>
    <w:rsid w:val="00453506"/>
    <w:rsid w:val="00453AA6"/>
    <w:rsid w:val="00460BAE"/>
    <w:rsid w:val="00462078"/>
    <w:rsid w:val="00465DCB"/>
    <w:rsid w:val="0047038E"/>
    <w:rsid w:val="00472634"/>
    <w:rsid w:val="00473400"/>
    <w:rsid w:val="00473E0C"/>
    <w:rsid w:val="004814C6"/>
    <w:rsid w:val="0048193B"/>
    <w:rsid w:val="0048661F"/>
    <w:rsid w:val="004935F1"/>
    <w:rsid w:val="00493EF9"/>
    <w:rsid w:val="004974C5"/>
    <w:rsid w:val="004A0C0C"/>
    <w:rsid w:val="004A24CE"/>
    <w:rsid w:val="004A2910"/>
    <w:rsid w:val="004A3406"/>
    <w:rsid w:val="004A3BCA"/>
    <w:rsid w:val="004A3FDB"/>
    <w:rsid w:val="004A6290"/>
    <w:rsid w:val="004A79F1"/>
    <w:rsid w:val="004B2E9A"/>
    <w:rsid w:val="004B5717"/>
    <w:rsid w:val="004C100B"/>
    <w:rsid w:val="004C3334"/>
    <w:rsid w:val="004C439C"/>
    <w:rsid w:val="004C4EC7"/>
    <w:rsid w:val="004C6BF4"/>
    <w:rsid w:val="004C6EED"/>
    <w:rsid w:val="004D4A04"/>
    <w:rsid w:val="004D509C"/>
    <w:rsid w:val="004D52C3"/>
    <w:rsid w:val="004E075A"/>
    <w:rsid w:val="004E276C"/>
    <w:rsid w:val="004F0DBC"/>
    <w:rsid w:val="004F2472"/>
    <w:rsid w:val="004F526C"/>
    <w:rsid w:val="004F5AF7"/>
    <w:rsid w:val="004F60B8"/>
    <w:rsid w:val="004F6E63"/>
    <w:rsid w:val="004F770B"/>
    <w:rsid w:val="004F7967"/>
    <w:rsid w:val="00503288"/>
    <w:rsid w:val="00503E29"/>
    <w:rsid w:val="00512341"/>
    <w:rsid w:val="00512F56"/>
    <w:rsid w:val="00513A49"/>
    <w:rsid w:val="00520D4D"/>
    <w:rsid w:val="00520FB9"/>
    <w:rsid w:val="00524579"/>
    <w:rsid w:val="005247F6"/>
    <w:rsid w:val="00527D41"/>
    <w:rsid w:val="0053253A"/>
    <w:rsid w:val="0054272E"/>
    <w:rsid w:val="00542C04"/>
    <w:rsid w:val="00542F1D"/>
    <w:rsid w:val="0054387A"/>
    <w:rsid w:val="005445FC"/>
    <w:rsid w:val="00545D75"/>
    <w:rsid w:val="00546AE5"/>
    <w:rsid w:val="00547404"/>
    <w:rsid w:val="00547EEB"/>
    <w:rsid w:val="005511E8"/>
    <w:rsid w:val="0055225F"/>
    <w:rsid w:val="0055473B"/>
    <w:rsid w:val="00554872"/>
    <w:rsid w:val="00560D27"/>
    <w:rsid w:val="0056157A"/>
    <w:rsid w:val="00561AFC"/>
    <w:rsid w:val="00561C0F"/>
    <w:rsid w:val="00562502"/>
    <w:rsid w:val="005628C3"/>
    <w:rsid w:val="005652DC"/>
    <w:rsid w:val="00565C3D"/>
    <w:rsid w:val="00567389"/>
    <w:rsid w:val="00567FC4"/>
    <w:rsid w:val="00571C5D"/>
    <w:rsid w:val="0057238F"/>
    <w:rsid w:val="005755DD"/>
    <w:rsid w:val="00576F95"/>
    <w:rsid w:val="00581334"/>
    <w:rsid w:val="005821DA"/>
    <w:rsid w:val="0058399A"/>
    <w:rsid w:val="00591385"/>
    <w:rsid w:val="00597BB7"/>
    <w:rsid w:val="005A24AD"/>
    <w:rsid w:val="005A2719"/>
    <w:rsid w:val="005A3071"/>
    <w:rsid w:val="005A3508"/>
    <w:rsid w:val="005A4851"/>
    <w:rsid w:val="005A7F0A"/>
    <w:rsid w:val="005B2267"/>
    <w:rsid w:val="005B3B31"/>
    <w:rsid w:val="005B5D48"/>
    <w:rsid w:val="005B629F"/>
    <w:rsid w:val="005B7BBE"/>
    <w:rsid w:val="005C76BE"/>
    <w:rsid w:val="005D2A2E"/>
    <w:rsid w:val="005D4217"/>
    <w:rsid w:val="005D491F"/>
    <w:rsid w:val="005D7F0D"/>
    <w:rsid w:val="005E4843"/>
    <w:rsid w:val="005E4D0A"/>
    <w:rsid w:val="005E4F3C"/>
    <w:rsid w:val="005F0C1B"/>
    <w:rsid w:val="005F7385"/>
    <w:rsid w:val="00600B3C"/>
    <w:rsid w:val="00601E93"/>
    <w:rsid w:val="006108A2"/>
    <w:rsid w:val="00611ADB"/>
    <w:rsid w:val="00611FA3"/>
    <w:rsid w:val="00612147"/>
    <w:rsid w:val="0061275A"/>
    <w:rsid w:val="0061362E"/>
    <w:rsid w:val="006141F2"/>
    <w:rsid w:val="00620D0E"/>
    <w:rsid w:val="00627758"/>
    <w:rsid w:val="00632861"/>
    <w:rsid w:val="00632E90"/>
    <w:rsid w:val="0063641D"/>
    <w:rsid w:val="00637BB6"/>
    <w:rsid w:val="006421A7"/>
    <w:rsid w:val="00644F8E"/>
    <w:rsid w:val="0064561E"/>
    <w:rsid w:val="006478C7"/>
    <w:rsid w:val="00651C61"/>
    <w:rsid w:val="00655AC1"/>
    <w:rsid w:val="0065678A"/>
    <w:rsid w:val="006575DA"/>
    <w:rsid w:val="006612E1"/>
    <w:rsid w:val="0066443F"/>
    <w:rsid w:val="00667954"/>
    <w:rsid w:val="006750DA"/>
    <w:rsid w:val="006762E8"/>
    <w:rsid w:val="00676ACB"/>
    <w:rsid w:val="0067741C"/>
    <w:rsid w:val="006824C5"/>
    <w:rsid w:val="00685E7B"/>
    <w:rsid w:val="006878A8"/>
    <w:rsid w:val="006905FC"/>
    <w:rsid w:val="0069357D"/>
    <w:rsid w:val="0069443F"/>
    <w:rsid w:val="0069572F"/>
    <w:rsid w:val="00696564"/>
    <w:rsid w:val="006A40CB"/>
    <w:rsid w:val="006A494E"/>
    <w:rsid w:val="006B4332"/>
    <w:rsid w:val="006B48BE"/>
    <w:rsid w:val="006B54F6"/>
    <w:rsid w:val="006B6814"/>
    <w:rsid w:val="006C10BF"/>
    <w:rsid w:val="006C2052"/>
    <w:rsid w:val="006C605D"/>
    <w:rsid w:val="006C6A65"/>
    <w:rsid w:val="006C701C"/>
    <w:rsid w:val="006D2B51"/>
    <w:rsid w:val="006D34F5"/>
    <w:rsid w:val="006D4C1B"/>
    <w:rsid w:val="006D5EB1"/>
    <w:rsid w:val="006E088E"/>
    <w:rsid w:val="006E157B"/>
    <w:rsid w:val="006E2937"/>
    <w:rsid w:val="006E415B"/>
    <w:rsid w:val="006F1528"/>
    <w:rsid w:val="006F2C0E"/>
    <w:rsid w:val="006F2D04"/>
    <w:rsid w:val="006F318D"/>
    <w:rsid w:val="006F401B"/>
    <w:rsid w:val="006F4AA1"/>
    <w:rsid w:val="006F512F"/>
    <w:rsid w:val="006F777A"/>
    <w:rsid w:val="00701B8F"/>
    <w:rsid w:val="007029CE"/>
    <w:rsid w:val="007039C9"/>
    <w:rsid w:val="00703D2F"/>
    <w:rsid w:val="00704E6E"/>
    <w:rsid w:val="007054BA"/>
    <w:rsid w:val="0070738E"/>
    <w:rsid w:val="00707A39"/>
    <w:rsid w:val="0071096C"/>
    <w:rsid w:val="00710B18"/>
    <w:rsid w:val="00724552"/>
    <w:rsid w:val="00727799"/>
    <w:rsid w:val="0073168F"/>
    <w:rsid w:val="0073399D"/>
    <w:rsid w:val="00733FC1"/>
    <w:rsid w:val="00736011"/>
    <w:rsid w:val="0074572C"/>
    <w:rsid w:val="007471D7"/>
    <w:rsid w:val="00750315"/>
    <w:rsid w:val="0075162A"/>
    <w:rsid w:val="00753DF2"/>
    <w:rsid w:val="00760A3D"/>
    <w:rsid w:val="007652F1"/>
    <w:rsid w:val="007766E3"/>
    <w:rsid w:val="00776C1F"/>
    <w:rsid w:val="007770E0"/>
    <w:rsid w:val="00777EFC"/>
    <w:rsid w:val="007804AA"/>
    <w:rsid w:val="007839C5"/>
    <w:rsid w:val="00784D1B"/>
    <w:rsid w:val="00785AD9"/>
    <w:rsid w:val="00793E62"/>
    <w:rsid w:val="007949D5"/>
    <w:rsid w:val="007A0F4B"/>
    <w:rsid w:val="007A0F5D"/>
    <w:rsid w:val="007A1C00"/>
    <w:rsid w:val="007A2FFA"/>
    <w:rsid w:val="007A30AA"/>
    <w:rsid w:val="007A400A"/>
    <w:rsid w:val="007A42C9"/>
    <w:rsid w:val="007A5053"/>
    <w:rsid w:val="007A6083"/>
    <w:rsid w:val="007A6A6B"/>
    <w:rsid w:val="007B2054"/>
    <w:rsid w:val="007B6BE9"/>
    <w:rsid w:val="007B7BCA"/>
    <w:rsid w:val="007C1499"/>
    <w:rsid w:val="007C1BCD"/>
    <w:rsid w:val="007C2398"/>
    <w:rsid w:val="007D0B38"/>
    <w:rsid w:val="007D4497"/>
    <w:rsid w:val="007D4FF8"/>
    <w:rsid w:val="007D506A"/>
    <w:rsid w:val="007D51F8"/>
    <w:rsid w:val="007E3E01"/>
    <w:rsid w:val="007F2E2C"/>
    <w:rsid w:val="007F6E74"/>
    <w:rsid w:val="007F7214"/>
    <w:rsid w:val="0080291B"/>
    <w:rsid w:val="00804786"/>
    <w:rsid w:val="00806379"/>
    <w:rsid w:val="008106AB"/>
    <w:rsid w:val="0081142A"/>
    <w:rsid w:val="0081191B"/>
    <w:rsid w:val="00813E0F"/>
    <w:rsid w:val="00817A53"/>
    <w:rsid w:val="00817E23"/>
    <w:rsid w:val="008205D8"/>
    <w:rsid w:val="0082087F"/>
    <w:rsid w:val="00823EEA"/>
    <w:rsid w:val="008260DD"/>
    <w:rsid w:val="008273E6"/>
    <w:rsid w:val="00827604"/>
    <w:rsid w:val="00827FCC"/>
    <w:rsid w:val="00840F78"/>
    <w:rsid w:val="0084204C"/>
    <w:rsid w:val="00844178"/>
    <w:rsid w:val="008453A9"/>
    <w:rsid w:val="00845AC2"/>
    <w:rsid w:val="00847EB9"/>
    <w:rsid w:val="008569F9"/>
    <w:rsid w:val="0085763A"/>
    <w:rsid w:val="0086081C"/>
    <w:rsid w:val="008626E6"/>
    <w:rsid w:val="008632C2"/>
    <w:rsid w:val="00864A58"/>
    <w:rsid w:val="00865B8A"/>
    <w:rsid w:val="00866241"/>
    <w:rsid w:val="008676E2"/>
    <w:rsid w:val="0087004D"/>
    <w:rsid w:val="00871DA5"/>
    <w:rsid w:val="008739D9"/>
    <w:rsid w:val="0087575E"/>
    <w:rsid w:val="00876A70"/>
    <w:rsid w:val="00880240"/>
    <w:rsid w:val="00883F8D"/>
    <w:rsid w:val="00884832"/>
    <w:rsid w:val="00890909"/>
    <w:rsid w:val="008926C4"/>
    <w:rsid w:val="008935B6"/>
    <w:rsid w:val="008945AF"/>
    <w:rsid w:val="008A0861"/>
    <w:rsid w:val="008A113D"/>
    <w:rsid w:val="008A1F7F"/>
    <w:rsid w:val="008A3F2B"/>
    <w:rsid w:val="008A430C"/>
    <w:rsid w:val="008A761E"/>
    <w:rsid w:val="008B1A55"/>
    <w:rsid w:val="008B25E6"/>
    <w:rsid w:val="008B3061"/>
    <w:rsid w:val="008B334A"/>
    <w:rsid w:val="008B75FF"/>
    <w:rsid w:val="008C04D2"/>
    <w:rsid w:val="008C071E"/>
    <w:rsid w:val="008C2FA3"/>
    <w:rsid w:val="008D1BCD"/>
    <w:rsid w:val="008D35F2"/>
    <w:rsid w:val="008D52EC"/>
    <w:rsid w:val="008D6102"/>
    <w:rsid w:val="008E275C"/>
    <w:rsid w:val="008E3858"/>
    <w:rsid w:val="008F0E32"/>
    <w:rsid w:val="008F0EC1"/>
    <w:rsid w:val="008F6273"/>
    <w:rsid w:val="008F7E95"/>
    <w:rsid w:val="00902806"/>
    <w:rsid w:val="0090288E"/>
    <w:rsid w:val="00905B06"/>
    <w:rsid w:val="00907FD7"/>
    <w:rsid w:val="0091480B"/>
    <w:rsid w:val="00920BFA"/>
    <w:rsid w:val="00921A4B"/>
    <w:rsid w:val="00925979"/>
    <w:rsid w:val="00933B80"/>
    <w:rsid w:val="00935983"/>
    <w:rsid w:val="009365FE"/>
    <w:rsid w:val="009368FD"/>
    <w:rsid w:val="00936F2D"/>
    <w:rsid w:val="00940C36"/>
    <w:rsid w:val="00940E48"/>
    <w:rsid w:val="00941170"/>
    <w:rsid w:val="0094159A"/>
    <w:rsid w:val="00944963"/>
    <w:rsid w:val="00951CE7"/>
    <w:rsid w:val="0095264B"/>
    <w:rsid w:val="009541D7"/>
    <w:rsid w:val="00956BFC"/>
    <w:rsid w:val="0096110F"/>
    <w:rsid w:val="009633A2"/>
    <w:rsid w:val="00966F80"/>
    <w:rsid w:val="00971F7D"/>
    <w:rsid w:val="009720FB"/>
    <w:rsid w:val="00972C40"/>
    <w:rsid w:val="00972D50"/>
    <w:rsid w:val="00973722"/>
    <w:rsid w:val="00975C83"/>
    <w:rsid w:val="00983486"/>
    <w:rsid w:val="00992266"/>
    <w:rsid w:val="0099232B"/>
    <w:rsid w:val="00997548"/>
    <w:rsid w:val="009979AE"/>
    <w:rsid w:val="00997E1F"/>
    <w:rsid w:val="009A3ABF"/>
    <w:rsid w:val="009A3FB1"/>
    <w:rsid w:val="009A5576"/>
    <w:rsid w:val="009A58A2"/>
    <w:rsid w:val="009B007D"/>
    <w:rsid w:val="009B1013"/>
    <w:rsid w:val="009B1199"/>
    <w:rsid w:val="009B1FED"/>
    <w:rsid w:val="009B25F8"/>
    <w:rsid w:val="009B3064"/>
    <w:rsid w:val="009B46C8"/>
    <w:rsid w:val="009B4C56"/>
    <w:rsid w:val="009B64BB"/>
    <w:rsid w:val="009B71A2"/>
    <w:rsid w:val="009C301A"/>
    <w:rsid w:val="009C5011"/>
    <w:rsid w:val="009C766D"/>
    <w:rsid w:val="009D2C62"/>
    <w:rsid w:val="009D2DBC"/>
    <w:rsid w:val="009D373B"/>
    <w:rsid w:val="009D5024"/>
    <w:rsid w:val="009D52CA"/>
    <w:rsid w:val="009D59B9"/>
    <w:rsid w:val="009D77BB"/>
    <w:rsid w:val="009E0708"/>
    <w:rsid w:val="009E1010"/>
    <w:rsid w:val="009E17FB"/>
    <w:rsid w:val="009E294E"/>
    <w:rsid w:val="009E3512"/>
    <w:rsid w:val="009E5B71"/>
    <w:rsid w:val="009E7511"/>
    <w:rsid w:val="009F0490"/>
    <w:rsid w:val="00A0344C"/>
    <w:rsid w:val="00A04D32"/>
    <w:rsid w:val="00A05E64"/>
    <w:rsid w:val="00A070D6"/>
    <w:rsid w:val="00A07564"/>
    <w:rsid w:val="00A07AA7"/>
    <w:rsid w:val="00A111CA"/>
    <w:rsid w:val="00A11692"/>
    <w:rsid w:val="00A13CD5"/>
    <w:rsid w:val="00A15BD7"/>
    <w:rsid w:val="00A16D47"/>
    <w:rsid w:val="00A2127F"/>
    <w:rsid w:val="00A2209B"/>
    <w:rsid w:val="00A233B0"/>
    <w:rsid w:val="00A23E68"/>
    <w:rsid w:val="00A260F7"/>
    <w:rsid w:val="00A27BB4"/>
    <w:rsid w:val="00A31680"/>
    <w:rsid w:val="00A34250"/>
    <w:rsid w:val="00A35440"/>
    <w:rsid w:val="00A361F1"/>
    <w:rsid w:val="00A42FE2"/>
    <w:rsid w:val="00A46038"/>
    <w:rsid w:val="00A4793E"/>
    <w:rsid w:val="00A5048C"/>
    <w:rsid w:val="00A54797"/>
    <w:rsid w:val="00A6217F"/>
    <w:rsid w:val="00A65455"/>
    <w:rsid w:val="00A65E08"/>
    <w:rsid w:val="00A65E2A"/>
    <w:rsid w:val="00A6795B"/>
    <w:rsid w:val="00A70C33"/>
    <w:rsid w:val="00A71F25"/>
    <w:rsid w:val="00A721CB"/>
    <w:rsid w:val="00A75CDA"/>
    <w:rsid w:val="00A77695"/>
    <w:rsid w:val="00A8300C"/>
    <w:rsid w:val="00A84A62"/>
    <w:rsid w:val="00A87554"/>
    <w:rsid w:val="00A915D9"/>
    <w:rsid w:val="00A918CB"/>
    <w:rsid w:val="00A95506"/>
    <w:rsid w:val="00AA043F"/>
    <w:rsid w:val="00AA2A94"/>
    <w:rsid w:val="00AA2ABF"/>
    <w:rsid w:val="00AA3168"/>
    <w:rsid w:val="00AA3600"/>
    <w:rsid w:val="00AA73A5"/>
    <w:rsid w:val="00AB4ACF"/>
    <w:rsid w:val="00AB5EFA"/>
    <w:rsid w:val="00AB642D"/>
    <w:rsid w:val="00AB79CF"/>
    <w:rsid w:val="00AC01F0"/>
    <w:rsid w:val="00AC0C98"/>
    <w:rsid w:val="00AC0CE5"/>
    <w:rsid w:val="00AC14BF"/>
    <w:rsid w:val="00AC2090"/>
    <w:rsid w:val="00AC624A"/>
    <w:rsid w:val="00AC6A49"/>
    <w:rsid w:val="00AD21F3"/>
    <w:rsid w:val="00AD389F"/>
    <w:rsid w:val="00AD3CC0"/>
    <w:rsid w:val="00AD5D3D"/>
    <w:rsid w:val="00AE0150"/>
    <w:rsid w:val="00AE103A"/>
    <w:rsid w:val="00AE10E2"/>
    <w:rsid w:val="00AE3D95"/>
    <w:rsid w:val="00AE44FB"/>
    <w:rsid w:val="00AE75B7"/>
    <w:rsid w:val="00AF063A"/>
    <w:rsid w:val="00AF503D"/>
    <w:rsid w:val="00AF52AC"/>
    <w:rsid w:val="00AF56A9"/>
    <w:rsid w:val="00AF6D1B"/>
    <w:rsid w:val="00AF7B98"/>
    <w:rsid w:val="00B00E2F"/>
    <w:rsid w:val="00B0740F"/>
    <w:rsid w:val="00B0799E"/>
    <w:rsid w:val="00B07F5D"/>
    <w:rsid w:val="00B12662"/>
    <w:rsid w:val="00B12B79"/>
    <w:rsid w:val="00B12BAD"/>
    <w:rsid w:val="00B1358C"/>
    <w:rsid w:val="00B156BD"/>
    <w:rsid w:val="00B2023A"/>
    <w:rsid w:val="00B2192C"/>
    <w:rsid w:val="00B24F51"/>
    <w:rsid w:val="00B326EF"/>
    <w:rsid w:val="00B32E36"/>
    <w:rsid w:val="00B34431"/>
    <w:rsid w:val="00B37658"/>
    <w:rsid w:val="00B37BF8"/>
    <w:rsid w:val="00B46083"/>
    <w:rsid w:val="00B47555"/>
    <w:rsid w:val="00B51404"/>
    <w:rsid w:val="00B61957"/>
    <w:rsid w:val="00B63DC5"/>
    <w:rsid w:val="00B63F06"/>
    <w:rsid w:val="00B669DD"/>
    <w:rsid w:val="00B71C5B"/>
    <w:rsid w:val="00B71F81"/>
    <w:rsid w:val="00B74E2C"/>
    <w:rsid w:val="00B75891"/>
    <w:rsid w:val="00B75B7C"/>
    <w:rsid w:val="00B761ED"/>
    <w:rsid w:val="00B811E8"/>
    <w:rsid w:val="00B8235E"/>
    <w:rsid w:val="00B91823"/>
    <w:rsid w:val="00B94EF8"/>
    <w:rsid w:val="00B96CF3"/>
    <w:rsid w:val="00B96F7E"/>
    <w:rsid w:val="00B978AD"/>
    <w:rsid w:val="00B97EEA"/>
    <w:rsid w:val="00BA0BBE"/>
    <w:rsid w:val="00BA2BBA"/>
    <w:rsid w:val="00BA302F"/>
    <w:rsid w:val="00BA3573"/>
    <w:rsid w:val="00BA3E41"/>
    <w:rsid w:val="00BB15B2"/>
    <w:rsid w:val="00BB307A"/>
    <w:rsid w:val="00BB6E71"/>
    <w:rsid w:val="00BB70E1"/>
    <w:rsid w:val="00BC2530"/>
    <w:rsid w:val="00BC3624"/>
    <w:rsid w:val="00BC4D86"/>
    <w:rsid w:val="00BC6C9E"/>
    <w:rsid w:val="00BD64AA"/>
    <w:rsid w:val="00BE0C34"/>
    <w:rsid w:val="00BE16CC"/>
    <w:rsid w:val="00C00335"/>
    <w:rsid w:val="00C00724"/>
    <w:rsid w:val="00C00B21"/>
    <w:rsid w:val="00C03C1E"/>
    <w:rsid w:val="00C106A7"/>
    <w:rsid w:val="00C13C21"/>
    <w:rsid w:val="00C16F6F"/>
    <w:rsid w:val="00C178E5"/>
    <w:rsid w:val="00C21442"/>
    <w:rsid w:val="00C22946"/>
    <w:rsid w:val="00C22C56"/>
    <w:rsid w:val="00C36636"/>
    <w:rsid w:val="00C37127"/>
    <w:rsid w:val="00C37A7E"/>
    <w:rsid w:val="00C40335"/>
    <w:rsid w:val="00C410C0"/>
    <w:rsid w:val="00C413C2"/>
    <w:rsid w:val="00C46E34"/>
    <w:rsid w:val="00C51E8C"/>
    <w:rsid w:val="00C527DA"/>
    <w:rsid w:val="00C52C47"/>
    <w:rsid w:val="00C61AAE"/>
    <w:rsid w:val="00C62816"/>
    <w:rsid w:val="00C6345D"/>
    <w:rsid w:val="00C64182"/>
    <w:rsid w:val="00C64913"/>
    <w:rsid w:val="00C65CF7"/>
    <w:rsid w:val="00C66400"/>
    <w:rsid w:val="00C66DD7"/>
    <w:rsid w:val="00C706CA"/>
    <w:rsid w:val="00C706CE"/>
    <w:rsid w:val="00C75A8C"/>
    <w:rsid w:val="00C76B37"/>
    <w:rsid w:val="00C80767"/>
    <w:rsid w:val="00C81DFC"/>
    <w:rsid w:val="00C826A5"/>
    <w:rsid w:val="00C84371"/>
    <w:rsid w:val="00C86D4C"/>
    <w:rsid w:val="00C870D9"/>
    <w:rsid w:val="00CA1247"/>
    <w:rsid w:val="00CA232D"/>
    <w:rsid w:val="00CA5664"/>
    <w:rsid w:val="00CB150A"/>
    <w:rsid w:val="00CB1D69"/>
    <w:rsid w:val="00CB22C3"/>
    <w:rsid w:val="00CB2565"/>
    <w:rsid w:val="00CB31B6"/>
    <w:rsid w:val="00CB489B"/>
    <w:rsid w:val="00CC3415"/>
    <w:rsid w:val="00CC67D0"/>
    <w:rsid w:val="00CC768B"/>
    <w:rsid w:val="00CD1F67"/>
    <w:rsid w:val="00CD37FE"/>
    <w:rsid w:val="00CD58AA"/>
    <w:rsid w:val="00CD6AFA"/>
    <w:rsid w:val="00CD6BE5"/>
    <w:rsid w:val="00CE29A4"/>
    <w:rsid w:val="00CE43E9"/>
    <w:rsid w:val="00CE5A97"/>
    <w:rsid w:val="00CE712F"/>
    <w:rsid w:val="00CF234A"/>
    <w:rsid w:val="00CF23B8"/>
    <w:rsid w:val="00CF3D8F"/>
    <w:rsid w:val="00CF6705"/>
    <w:rsid w:val="00D006ED"/>
    <w:rsid w:val="00D02F74"/>
    <w:rsid w:val="00D03CEA"/>
    <w:rsid w:val="00D07CF5"/>
    <w:rsid w:val="00D1284F"/>
    <w:rsid w:val="00D13D13"/>
    <w:rsid w:val="00D16E6B"/>
    <w:rsid w:val="00D17666"/>
    <w:rsid w:val="00D23712"/>
    <w:rsid w:val="00D239F1"/>
    <w:rsid w:val="00D27F77"/>
    <w:rsid w:val="00D34D25"/>
    <w:rsid w:val="00D35D47"/>
    <w:rsid w:val="00D362BD"/>
    <w:rsid w:val="00D36B4F"/>
    <w:rsid w:val="00D36CA3"/>
    <w:rsid w:val="00D40D3D"/>
    <w:rsid w:val="00D417F3"/>
    <w:rsid w:val="00D44F57"/>
    <w:rsid w:val="00D46796"/>
    <w:rsid w:val="00D51D6A"/>
    <w:rsid w:val="00D61B5B"/>
    <w:rsid w:val="00D6355C"/>
    <w:rsid w:val="00D64C2B"/>
    <w:rsid w:val="00D662B2"/>
    <w:rsid w:val="00D673CB"/>
    <w:rsid w:val="00D707A6"/>
    <w:rsid w:val="00D77F65"/>
    <w:rsid w:val="00D832B3"/>
    <w:rsid w:val="00D8576E"/>
    <w:rsid w:val="00D8676A"/>
    <w:rsid w:val="00D901E3"/>
    <w:rsid w:val="00D92643"/>
    <w:rsid w:val="00D96CB5"/>
    <w:rsid w:val="00DA1C28"/>
    <w:rsid w:val="00DA29F5"/>
    <w:rsid w:val="00DA31C5"/>
    <w:rsid w:val="00DA55F0"/>
    <w:rsid w:val="00DB0714"/>
    <w:rsid w:val="00DB0C6D"/>
    <w:rsid w:val="00DB2920"/>
    <w:rsid w:val="00DB339D"/>
    <w:rsid w:val="00DB4D55"/>
    <w:rsid w:val="00DB4D78"/>
    <w:rsid w:val="00DB5B59"/>
    <w:rsid w:val="00DB689B"/>
    <w:rsid w:val="00DC0D80"/>
    <w:rsid w:val="00DC2D9D"/>
    <w:rsid w:val="00DC3B9D"/>
    <w:rsid w:val="00DC51E8"/>
    <w:rsid w:val="00DC6CBD"/>
    <w:rsid w:val="00DC768B"/>
    <w:rsid w:val="00DD1289"/>
    <w:rsid w:val="00DE2C5E"/>
    <w:rsid w:val="00DE7866"/>
    <w:rsid w:val="00DF7669"/>
    <w:rsid w:val="00DF7EA9"/>
    <w:rsid w:val="00E01579"/>
    <w:rsid w:val="00E061CF"/>
    <w:rsid w:val="00E07994"/>
    <w:rsid w:val="00E1537E"/>
    <w:rsid w:val="00E15DD3"/>
    <w:rsid w:val="00E20288"/>
    <w:rsid w:val="00E210C7"/>
    <w:rsid w:val="00E21FF9"/>
    <w:rsid w:val="00E234C3"/>
    <w:rsid w:val="00E23EAD"/>
    <w:rsid w:val="00E2542B"/>
    <w:rsid w:val="00E319C8"/>
    <w:rsid w:val="00E33B0F"/>
    <w:rsid w:val="00E33C03"/>
    <w:rsid w:val="00E43562"/>
    <w:rsid w:val="00E43956"/>
    <w:rsid w:val="00E44014"/>
    <w:rsid w:val="00E4465B"/>
    <w:rsid w:val="00E449D6"/>
    <w:rsid w:val="00E44E40"/>
    <w:rsid w:val="00E45493"/>
    <w:rsid w:val="00E469F1"/>
    <w:rsid w:val="00E46AB2"/>
    <w:rsid w:val="00E46B7D"/>
    <w:rsid w:val="00E50924"/>
    <w:rsid w:val="00E62517"/>
    <w:rsid w:val="00E62F08"/>
    <w:rsid w:val="00E63180"/>
    <w:rsid w:val="00E65ED0"/>
    <w:rsid w:val="00E65F77"/>
    <w:rsid w:val="00E712E3"/>
    <w:rsid w:val="00E715D3"/>
    <w:rsid w:val="00E731E7"/>
    <w:rsid w:val="00E73682"/>
    <w:rsid w:val="00E819D2"/>
    <w:rsid w:val="00E825F5"/>
    <w:rsid w:val="00E8456C"/>
    <w:rsid w:val="00E90716"/>
    <w:rsid w:val="00EA217E"/>
    <w:rsid w:val="00EA2A03"/>
    <w:rsid w:val="00EA2F50"/>
    <w:rsid w:val="00EA57D1"/>
    <w:rsid w:val="00EB0920"/>
    <w:rsid w:val="00EB0D15"/>
    <w:rsid w:val="00EB6D3F"/>
    <w:rsid w:val="00EB73E7"/>
    <w:rsid w:val="00EC33FC"/>
    <w:rsid w:val="00EC5BD5"/>
    <w:rsid w:val="00ED0CBE"/>
    <w:rsid w:val="00ED1435"/>
    <w:rsid w:val="00ED4FD2"/>
    <w:rsid w:val="00ED6A9C"/>
    <w:rsid w:val="00ED7156"/>
    <w:rsid w:val="00ED7AD4"/>
    <w:rsid w:val="00EE7905"/>
    <w:rsid w:val="00EF2C40"/>
    <w:rsid w:val="00EF4B1D"/>
    <w:rsid w:val="00EF7206"/>
    <w:rsid w:val="00F01229"/>
    <w:rsid w:val="00F0512B"/>
    <w:rsid w:val="00F052BF"/>
    <w:rsid w:val="00F15C8A"/>
    <w:rsid w:val="00F22068"/>
    <w:rsid w:val="00F24FCD"/>
    <w:rsid w:val="00F31849"/>
    <w:rsid w:val="00F34331"/>
    <w:rsid w:val="00F351BC"/>
    <w:rsid w:val="00F46BE5"/>
    <w:rsid w:val="00F535FD"/>
    <w:rsid w:val="00F600AA"/>
    <w:rsid w:val="00F626A0"/>
    <w:rsid w:val="00F70A11"/>
    <w:rsid w:val="00F71510"/>
    <w:rsid w:val="00F75FFF"/>
    <w:rsid w:val="00F83176"/>
    <w:rsid w:val="00F876BA"/>
    <w:rsid w:val="00F91033"/>
    <w:rsid w:val="00F9407E"/>
    <w:rsid w:val="00F95BDF"/>
    <w:rsid w:val="00F96997"/>
    <w:rsid w:val="00FA1866"/>
    <w:rsid w:val="00FA6811"/>
    <w:rsid w:val="00FB3CDE"/>
    <w:rsid w:val="00FB6787"/>
    <w:rsid w:val="00FB705E"/>
    <w:rsid w:val="00FB7382"/>
    <w:rsid w:val="00FB782A"/>
    <w:rsid w:val="00FC3400"/>
    <w:rsid w:val="00FD1823"/>
    <w:rsid w:val="00FD2F9C"/>
    <w:rsid w:val="00FD7688"/>
    <w:rsid w:val="00FD7C26"/>
    <w:rsid w:val="00FE2297"/>
    <w:rsid w:val="00FE30A1"/>
    <w:rsid w:val="00FE3915"/>
    <w:rsid w:val="00FE6E2E"/>
    <w:rsid w:val="00FE752A"/>
    <w:rsid w:val="00FF01AB"/>
    <w:rsid w:val="00FF1854"/>
    <w:rsid w:val="00FF22FA"/>
    <w:rsid w:val="00FF30D9"/>
    <w:rsid w:val="00FF3C11"/>
    <w:rsid w:val="00FF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66178-77DC-46BD-8171-45A148E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2A8"/>
    <w:pPr>
      <w:spacing w:after="0" w:line="240" w:lineRule="auto"/>
    </w:pPr>
  </w:style>
  <w:style w:type="table" w:styleId="TableGrid">
    <w:name w:val="Table Grid"/>
    <w:basedOn w:val="TableNormal"/>
    <w:uiPriority w:val="39"/>
    <w:rsid w:val="002E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Crofton School</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Oliver</dc:creator>
  <cp:keywords/>
  <dc:description/>
  <cp:lastModifiedBy>J Oliver</cp:lastModifiedBy>
  <cp:revision>19</cp:revision>
  <dcterms:created xsi:type="dcterms:W3CDTF">2018-03-07T18:55:00Z</dcterms:created>
  <dcterms:modified xsi:type="dcterms:W3CDTF">2018-05-14T10:19:00Z</dcterms:modified>
</cp:coreProperties>
</file>